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after="1000" w:line="560" w:lineRule="exact"/>
        <w:jc w:val="center"/>
        <w:rPr>
          <w:rFonts w:hint="default" w:ascii="宋体" w:hAnsi="宋体" w:eastAsia="宋体" w:cs="宋体"/>
          <w:sz w:val="24"/>
          <w:szCs w:val="24"/>
          <w:lang w:val="en-US" w:eastAsia="zh-CN"/>
        </w:rPr>
      </w:pPr>
      <w:r>
        <w:rPr>
          <w:rFonts w:ascii="宋体" w:hAnsi="宋体" w:eastAsia="宋体" w:cs="宋体"/>
          <w:sz w:val="24"/>
          <w:szCs w:val="24"/>
        </w:rPr>
        <w:t>证券代码：002043             证券简称：兔 宝 宝             公告编号：</w:t>
      </w:r>
      <w:r>
        <w:rPr>
          <w:rFonts w:hint="eastAsia" w:ascii="宋体" w:hAnsi="宋体" w:eastAsia="宋体" w:cs="宋体"/>
          <w:sz w:val="24"/>
          <w:szCs w:val="24"/>
          <w:lang w:val="en-US" w:eastAsia="zh-CN"/>
        </w:rPr>
        <w:t>2024-031</w:t>
      </w:r>
    </w:p>
    <w:p>
      <w:pPr>
        <w:spacing w:before="200" w:after="200" w:line="400" w:lineRule="exact"/>
        <w:jc w:val="center"/>
        <w:rPr>
          <w:rFonts w:ascii="宋体" w:hAnsi="宋体" w:eastAsia="宋体" w:cs="宋体"/>
          <w:b/>
          <w:bCs/>
          <w:sz w:val="32"/>
          <w:szCs w:val="32"/>
        </w:rPr>
      </w:pPr>
      <w:r>
        <w:rPr>
          <w:rFonts w:ascii="宋体" w:hAnsi="宋体" w:eastAsia="宋体" w:cs="宋体"/>
          <w:b/>
          <w:bCs/>
          <w:sz w:val="32"/>
          <w:szCs w:val="32"/>
        </w:rPr>
        <w:t>德华兔宝宝装饰新材股份有限公司</w:t>
      </w:r>
    </w:p>
    <w:p>
      <w:pPr>
        <w:spacing w:before="200" w:after="200" w:line="400" w:lineRule="exact"/>
        <w:jc w:val="center"/>
        <w:rPr>
          <w:rFonts w:ascii="宋体" w:hAnsi="宋体" w:eastAsia="宋体" w:cs="宋体"/>
          <w:b/>
          <w:bCs/>
          <w:sz w:val="32"/>
          <w:szCs w:val="32"/>
        </w:rPr>
      </w:pPr>
      <w:r>
        <w:rPr>
          <w:rFonts w:ascii="宋体" w:hAnsi="宋体" w:eastAsia="宋体" w:cs="宋体"/>
          <w:b/>
          <w:bCs/>
          <w:sz w:val="32"/>
          <w:szCs w:val="32"/>
        </w:rPr>
        <w:t>2024年第一季度报告</w:t>
      </w:r>
    </w:p>
    <w:p>
      <w:pPr>
        <w:pBdr>
          <w:top w:val="single" w:color="auto" w:sz="4" w:space="1"/>
          <w:left w:val="single" w:color="auto" w:sz="4" w:space="4"/>
          <w:bottom w:val="single" w:color="auto" w:sz="4" w:space="1"/>
          <w:right w:val="single" w:color="auto" w:sz="4" w:space="4"/>
        </w:pBdr>
        <w:spacing w:before="100" w:after="100" w:line="400" w:lineRule="exact"/>
        <w:ind w:firstLine="360" w:firstLineChars="200"/>
        <w:jc w:val="left"/>
        <w:rPr>
          <w:rFonts w:ascii="宋体" w:hAnsi="宋体" w:eastAsia="宋体" w:cs="宋体"/>
          <w:sz w:val="18"/>
          <w:szCs w:val="18"/>
        </w:rPr>
      </w:pPr>
      <w:r>
        <w:rPr>
          <w:rFonts w:ascii="宋体" w:hAnsi="宋体" w:eastAsia="宋体" w:cs="宋体"/>
          <w:sz w:val="18"/>
          <w:szCs w:val="18"/>
        </w:rPr>
        <w:t>本公司及董事会全体成员保证信息披露的内容真实、准确、完整，没有虚假记载、误导性陈述或重大遗漏。</w:t>
      </w:r>
    </w:p>
    <w:p>
      <w:pPr>
        <w:spacing w:before="40" w:after="40" w:line="420" w:lineRule="exact"/>
        <w:jc w:val="left"/>
        <w:rPr>
          <w:rFonts w:ascii="宋体" w:hAnsi="宋体" w:eastAsia="宋体" w:cs="宋体"/>
          <w:b/>
          <w:bCs/>
          <w:sz w:val="24"/>
          <w:szCs w:val="24"/>
        </w:rPr>
      </w:pPr>
      <w:r>
        <w:rPr>
          <w:rFonts w:ascii="宋体" w:hAnsi="宋体" w:eastAsia="宋体" w:cs="宋体"/>
          <w:b/>
          <w:bCs/>
          <w:sz w:val="24"/>
          <w:szCs w:val="24"/>
        </w:rPr>
        <w:t>重要内容提示：</w:t>
      </w:r>
    </w:p>
    <w:p>
      <w:pPr>
        <w:keepNext w:val="0"/>
        <w:keepLines w:val="0"/>
        <w:pageBreakBefore w:val="0"/>
        <w:widowControl w:val="0"/>
        <w:kinsoku/>
        <w:wordWrap/>
        <w:overflowPunct/>
        <w:topLinePunct w:val="0"/>
        <w:autoSpaceDE/>
        <w:autoSpaceDN/>
        <w:bidi w:val="0"/>
        <w:adjustRightInd/>
        <w:snapToGrid/>
        <w:spacing w:before="100" w:after="100" w:line="312" w:lineRule="auto"/>
        <w:jc w:val="left"/>
        <w:textAlignment w:val="auto"/>
        <w:rPr>
          <w:rFonts w:ascii="宋体" w:hAnsi="宋体" w:eastAsia="宋体" w:cs="宋体"/>
          <w:sz w:val="21"/>
          <w:szCs w:val="21"/>
        </w:rPr>
      </w:pPr>
      <w:r>
        <w:rPr>
          <w:rFonts w:ascii="宋体" w:hAnsi="宋体" w:eastAsia="宋体" w:cs="宋体"/>
          <w:sz w:val="21"/>
          <w:szCs w:val="21"/>
        </w:rPr>
        <w:t>1.董事会、监事会及董事、监事、高级管理人员保证季度报告的真实、准确、完整，不存在虚假记载、误导性陈述或重大遗漏，并承担个别和连带的法律责任。</w:t>
      </w:r>
    </w:p>
    <w:p>
      <w:pPr>
        <w:keepNext w:val="0"/>
        <w:keepLines w:val="0"/>
        <w:pageBreakBefore w:val="0"/>
        <w:widowControl w:val="0"/>
        <w:kinsoku/>
        <w:wordWrap/>
        <w:overflowPunct/>
        <w:topLinePunct w:val="0"/>
        <w:autoSpaceDE/>
        <w:autoSpaceDN/>
        <w:bidi w:val="0"/>
        <w:adjustRightInd/>
        <w:snapToGrid/>
        <w:spacing w:before="100" w:after="100" w:line="312" w:lineRule="auto"/>
        <w:jc w:val="left"/>
        <w:textAlignment w:val="auto"/>
        <w:rPr>
          <w:rFonts w:ascii="宋体" w:hAnsi="宋体" w:eastAsia="宋体" w:cs="宋体"/>
          <w:sz w:val="21"/>
          <w:szCs w:val="21"/>
        </w:rPr>
      </w:pPr>
      <w:r>
        <w:rPr>
          <w:rFonts w:ascii="宋体" w:hAnsi="宋体" w:eastAsia="宋体" w:cs="宋体"/>
          <w:sz w:val="21"/>
          <w:szCs w:val="21"/>
        </w:rPr>
        <w:t>2.公司负责人、主管会计工作负责人及会计机构负责人</w:t>
      </w:r>
      <w:r>
        <w:rPr>
          <w:rFonts w:hint="eastAsia" w:ascii="宋体" w:hAnsi="宋体" w:eastAsia="宋体" w:cs="宋体"/>
          <w:sz w:val="21"/>
          <w:szCs w:val="21"/>
          <w:lang w:eastAsia="zh-CN"/>
        </w:rPr>
        <w:t>（</w:t>
      </w:r>
      <w:r>
        <w:rPr>
          <w:rFonts w:ascii="宋体" w:hAnsi="宋体" w:eastAsia="宋体" w:cs="宋体"/>
          <w:sz w:val="21"/>
          <w:szCs w:val="21"/>
        </w:rPr>
        <w:t>会计主管人员</w:t>
      </w:r>
      <w:r>
        <w:rPr>
          <w:rFonts w:hint="eastAsia" w:ascii="宋体" w:hAnsi="宋体" w:eastAsia="宋体" w:cs="宋体"/>
          <w:sz w:val="21"/>
          <w:szCs w:val="21"/>
          <w:lang w:eastAsia="zh-CN"/>
        </w:rPr>
        <w:t>）</w:t>
      </w:r>
      <w:r>
        <w:rPr>
          <w:rFonts w:ascii="宋体" w:hAnsi="宋体" w:eastAsia="宋体" w:cs="宋体"/>
          <w:sz w:val="21"/>
          <w:szCs w:val="21"/>
        </w:rPr>
        <w:t>声明：保证季度报告中财务信息的真实、准确、完整。</w:t>
      </w:r>
    </w:p>
    <w:p>
      <w:pPr>
        <w:keepNext w:val="0"/>
        <w:keepLines w:val="0"/>
        <w:pageBreakBefore w:val="0"/>
        <w:widowControl w:val="0"/>
        <w:kinsoku/>
        <w:wordWrap/>
        <w:overflowPunct/>
        <w:topLinePunct w:val="0"/>
        <w:autoSpaceDE/>
        <w:autoSpaceDN/>
        <w:bidi w:val="0"/>
        <w:adjustRightInd/>
        <w:snapToGrid/>
        <w:spacing w:before="100" w:after="100" w:line="312" w:lineRule="auto"/>
        <w:jc w:val="left"/>
        <w:textAlignment w:val="auto"/>
        <w:rPr>
          <w:rFonts w:ascii="宋体" w:hAnsi="宋体" w:eastAsia="宋体" w:cs="宋体"/>
          <w:sz w:val="21"/>
          <w:szCs w:val="21"/>
        </w:rPr>
      </w:pPr>
      <w:r>
        <w:rPr>
          <w:rFonts w:ascii="宋体" w:hAnsi="宋体" w:eastAsia="宋体" w:cs="宋体"/>
          <w:sz w:val="21"/>
          <w:szCs w:val="21"/>
        </w:rPr>
        <w:t>3.第一季度报告是否经审计</w:t>
      </w:r>
    </w:p>
    <w:p>
      <w:pPr>
        <w:keepNext w:val="0"/>
        <w:keepLines w:val="0"/>
        <w:pageBreakBefore w:val="0"/>
        <w:widowControl w:val="0"/>
        <w:kinsoku/>
        <w:wordWrap/>
        <w:overflowPunct/>
        <w:topLinePunct w:val="0"/>
        <w:autoSpaceDE/>
        <w:autoSpaceDN/>
        <w:bidi w:val="0"/>
        <w:adjustRightInd/>
        <w:snapToGrid/>
        <w:spacing w:before="100" w:after="100" w:line="312" w:lineRule="auto"/>
        <w:jc w:val="left"/>
        <w:textAlignment w:val="auto"/>
        <w:rPr>
          <w:rFonts w:ascii="宋体" w:hAnsi="宋体" w:eastAsia="宋体" w:cs="宋体"/>
          <w:sz w:val="21"/>
          <w:szCs w:val="21"/>
        </w:rPr>
      </w:pPr>
      <w:r>
        <w:rPr>
          <w:rFonts w:ascii="宋体" w:hAnsi="宋体" w:eastAsia="宋体" w:cs="宋体"/>
          <w:sz w:val="21"/>
          <w:szCs w:val="21"/>
        </w:rPr>
        <w:t xml:space="preserve">□是 </w:t>
      </w:r>
      <w:r>
        <w:rPr>
          <w:rFonts w:ascii="宋体" w:hAnsi="宋体" w:eastAsia="宋体" w:cs="宋体"/>
          <w:sz w:val="21"/>
          <w:szCs w:val="21"/>
        </w:rPr>
        <w:sym w:font="Wingdings 2" w:char="F052"/>
      </w:r>
      <w:r>
        <w:rPr>
          <w:rFonts w:ascii="宋体" w:hAnsi="宋体" w:eastAsia="宋体" w:cs="宋体"/>
          <w:sz w:val="21"/>
          <w:szCs w:val="21"/>
        </w:rPr>
        <w:t>否</w:t>
      </w:r>
    </w:p>
    <w:p>
      <w:r>
        <w:br w:type="page"/>
      </w:r>
    </w:p>
    <w:p>
      <w:pPr>
        <w:keepNext/>
        <w:keepLines/>
        <w:spacing w:before="300" w:after="300" w:line="320" w:lineRule="exact"/>
        <w:jc w:val="left"/>
        <w:outlineLvl w:val="0"/>
        <w:rPr>
          <w:rFonts w:ascii="宋体" w:hAnsi="宋体" w:eastAsia="宋体" w:cs="宋体"/>
          <w:b/>
          <w:bCs/>
          <w:sz w:val="24"/>
          <w:szCs w:val="24"/>
        </w:rPr>
      </w:pPr>
      <w:bookmarkStart w:id="0" w:name="_Toc988889"/>
      <w:r>
        <w:rPr>
          <w:rFonts w:ascii="宋体" w:hAnsi="宋体" w:eastAsia="宋体" w:cs="宋体"/>
          <w:b/>
          <w:bCs/>
          <w:sz w:val="24"/>
          <w:szCs w:val="24"/>
        </w:rPr>
        <w:t>一、主要财务数据</w:t>
      </w:r>
      <w:bookmarkEnd w:id="0"/>
    </w:p>
    <w:p>
      <w:pPr>
        <w:keepNext/>
        <w:keepLines/>
        <w:spacing w:before="300" w:after="300" w:line="280" w:lineRule="exact"/>
        <w:jc w:val="left"/>
        <w:outlineLvl w:val="1"/>
        <w:rPr>
          <w:rFonts w:ascii="宋体" w:hAnsi="宋体" w:eastAsia="宋体" w:cs="宋体"/>
          <w:b/>
          <w:bCs/>
          <w:sz w:val="21"/>
          <w:szCs w:val="21"/>
        </w:rPr>
      </w:pPr>
      <w:bookmarkStart w:id="1" w:name="_Toc988890"/>
      <w:r>
        <w:rPr>
          <w:rFonts w:ascii="宋体" w:hAnsi="宋体" w:eastAsia="宋体" w:cs="宋体"/>
          <w:b/>
          <w:bCs/>
          <w:sz w:val="21"/>
          <w:szCs w:val="21"/>
        </w:rPr>
        <w:t>（一） 主要会计数据和财务指标</w:t>
      </w:r>
      <w:bookmarkEnd w:id="1"/>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公司是否需追溯调整或重述以前年度会计数据</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tbl>
      <w:tblPr>
        <w:tblStyle w:val="3"/>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97"/>
        <w:gridCol w:w="2132"/>
        <w:gridCol w:w="1971"/>
        <w:gridCol w:w="20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21" w:hRule="atLeast"/>
        </w:trPr>
        <w:tc>
          <w:tcPr>
            <w:tcW w:w="3497"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2"/>
                <w:szCs w:val="24"/>
              </w:rPr>
            </w:pPr>
          </w:p>
        </w:tc>
        <w:tc>
          <w:tcPr>
            <w:tcW w:w="213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20"/>
                <w:szCs w:val="20"/>
              </w:rPr>
            </w:pPr>
            <w:r>
              <w:rPr>
                <w:rFonts w:ascii="宋体" w:hAnsi="宋体" w:eastAsia="宋体" w:cs="宋体"/>
                <w:sz w:val="20"/>
                <w:szCs w:val="20"/>
              </w:rPr>
              <w:t>本报告期</w:t>
            </w:r>
          </w:p>
        </w:tc>
        <w:tc>
          <w:tcPr>
            <w:tcW w:w="19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20"/>
                <w:szCs w:val="20"/>
              </w:rPr>
            </w:pPr>
            <w:r>
              <w:rPr>
                <w:rFonts w:ascii="宋体" w:hAnsi="宋体" w:eastAsia="宋体" w:cs="宋体"/>
                <w:sz w:val="20"/>
                <w:szCs w:val="20"/>
              </w:rPr>
              <w:t>上年同期</w:t>
            </w:r>
          </w:p>
        </w:tc>
        <w:tc>
          <w:tcPr>
            <w:tcW w:w="204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20"/>
                <w:szCs w:val="20"/>
              </w:rPr>
            </w:pPr>
            <w:r>
              <w:rPr>
                <w:rFonts w:ascii="宋体" w:hAnsi="宋体" w:eastAsia="宋体" w:cs="宋体"/>
                <w:sz w:val="20"/>
                <w:szCs w:val="20"/>
              </w:rPr>
              <w:t>本报告期比上年同期增减（%）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63" w:hRule="atLeast"/>
        </w:trPr>
        <w:tc>
          <w:tcPr>
            <w:tcW w:w="3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20"/>
                <w:szCs w:val="20"/>
              </w:rPr>
            </w:pPr>
            <w:r>
              <w:rPr>
                <w:rFonts w:ascii="宋体" w:hAnsi="宋体" w:eastAsia="宋体" w:cs="宋体"/>
                <w:sz w:val="20"/>
                <w:szCs w:val="20"/>
              </w:rPr>
              <w:t>营业收入（元）</w:t>
            </w:r>
          </w:p>
        </w:tc>
        <w:tc>
          <w:tcPr>
            <w:tcW w:w="21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1,482,677,481.07</w:t>
            </w:r>
          </w:p>
        </w:tc>
        <w:tc>
          <w:tcPr>
            <w:tcW w:w="19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1,111,734,656.89</w:t>
            </w:r>
          </w:p>
        </w:tc>
        <w:tc>
          <w:tcPr>
            <w:tcW w:w="20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33.37%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63" w:hRule="atLeast"/>
        </w:trPr>
        <w:tc>
          <w:tcPr>
            <w:tcW w:w="3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20"/>
                <w:szCs w:val="20"/>
              </w:rPr>
            </w:pPr>
            <w:r>
              <w:rPr>
                <w:rFonts w:ascii="宋体" w:hAnsi="宋体" w:eastAsia="宋体" w:cs="宋体"/>
                <w:sz w:val="20"/>
                <w:szCs w:val="20"/>
              </w:rPr>
              <w:t>归属于上市公司股东的净利润（元）</w:t>
            </w:r>
          </w:p>
        </w:tc>
        <w:tc>
          <w:tcPr>
            <w:tcW w:w="21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88,547,928.30</w:t>
            </w:r>
          </w:p>
        </w:tc>
        <w:tc>
          <w:tcPr>
            <w:tcW w:w="19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74,532,065.50</w:t>
            </w:r>
          </w:p>
        </w:tc>
        <w:tc>
          <w:tcPr>
            <w:tcW w:w="20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18.81%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21" w:hRule="atLeast"/>
        </w:trPr>
        <w:tc>
          <w:tcPr>
            <w:tcW w:w="3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20"/>
                <w:szCs w:val="20"/>
              </w:rPr>
            </w:pPr>
            <w:r>
              <w:rPr>
                <w:rFonts w:ascii="宋体" w:hAnsi="宋体" w:eastAsia="宋体" w:cs="宋体"/>
                <w:sz w:val="20"/>
                <w:szCs w:val="20"/>
              </w:rPr>
              <w:t>归属于上市公司股东的扣除非经常性损益的净利润（元）</w:t>
            </w:r>
          </w:p>
        </w:tc>
        <w:tc>
          <w:tcPr>
            <w:tcW w:w="21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80,377,012.20</w:t>
            </w:r>
          </w:p>
        </w:tc>
        <w:tc>
          <w:tcPr>
            <w:tcW w:w="19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58,100,032.37</w:t>
            </w:r>
          </w:p>
        </w:tc>
        <w:tc>
          <w:tcPr>
            <w:tcW w:w="20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38.34%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63" w:hRule="atLeast"/>
        </w:trPr>
        <w:tc>
          <w:tcPr>
            <w:tcW w:w="3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20"/>
                <w:szCs w:val="20"/>
              </w:rPr>
            </w:pPr>
            <w:r>
              <w:rPr>
                <w:rFonts w:ascii="宋体" w:hAnsi="宋体" w:eastAsia="宋体" w:cs="宋体"/>
                <w:sz w:val="20"/>
                <w:szCs w:val="20"/>
              </w:rPr>
              <w:t>经营活动产生的现金流量净额（元）</w:t>
            </w:r>
          </w:p>
        </w:tc>
        <w:tc>
          <w:tcPr>
            <w:tcW w:w="21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-881,239,931.27</w:t>
            </w:r>
          </w:p>
        </w:tc>
        <w:tc>
          <w:tcPr>
            <w:tcW w:w="19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-78,766,114.75</w:t>
            </w:r>
          </w:p>
        </w:tc>
        <w:tc>
          <w:tcPr>
            <w:tcW w:w="20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-1,018.81%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63" w:hRule="atLeast"/>
        </w:trPr>
        <w:tc>
          <w:tcPr>
            <w:tcW w:w="3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20"/>
                <w:szCs w:val="20"/>
              </w:rPr>
            </w:pPr>
            <w:r>
              <w:rPr>
                <w:rFonts w:ascii="宋体" w:hAnsi="宋体" w:eastAsia="宋体" w:cs="宋体"/>
                <w:sz w:val="20"/>
                <w:szCs w:val="20"/>
              </w:rPr>
              <w:t>基本每股收益（元/股）</w:t>
            </w:r>
          </w:p>
        </w:tc>
        <w:tc>
          <w:tcPr>
            <w:tcW w:w="21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0.11</w:t>
            </w:r>
          </w:p>
        </w:tc>
        <w:tc>
          <w:tcPr>
            <w:tcW w:w="19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0.10</w:t>
            </w:r>
          </w:p>
        </w:tc>
        <w:tc>
          <w:tcPr>
            <w:tcW w:w="20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10.00%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63" w:hRule="atLeast"/>
        </w:trPr>
        <w:tc>
          <w:tcPr>
            <w:tcW w:w="3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20"/>
                <w:szCs w:val="20"/>
              </w:rPr>
            </w:pPr>
            <w:r>
              <w:rPr>
                <w:rFonts w:ascii="宋体" w:hAnsi="宋体" w:eastAsia="宋体" w:cs="宋体"/>
                <w:sz w:val="20"/>
                <w:szCs w:val="20"/>
              </w:rPr>
              <w:t>稀释每股收益（元/股）</w:t>
            </w:r>
          </w:p>
        </w:tc>
        <w:tc>
          <w:tcPr>
            <w:tcW w:w="21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0.11</w:t>
            </w:r>
          </w:p>
        </w:tc>
        <w:tc>
          <w:tcPr>
            <w:tcW w:w="19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0.10</w:t>
            </w:r>
          </w:p>
        </w:tc>
        <w:tc>
          <w:tcPr>
            <w:tcW w:w="20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10.00%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63" w:hRule="atLeast"/>
        </w:trPr>
        <w:tc>
          <w:tcPr>
            <w:tcW w:w="3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20"/>
                <w:szCs w:val="20"/>
              </w:rPr>
            </w:pPr>
            <w:r>
              <w:rPr>
                <w:rFonts w:ascii="宋体" w:hAnsi="宋体" w:eastAsia="宋体" w:cs="宋体"/>
                <w:sz w:val="20"/>
                <w:szCs w:val="20"/>
              </w:rPr>
              <w:t>加权平均净资产收益率</w:t>
            </w:r>
          </w:p>
        </w:tc>
        <w:tc>
          <w:tcPr>
            <w:tcW w:w="21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2.</w:t>
            </w:r>
            <w:r>
              <w:rPr>
                <w:rFonts w:hint="eastAsia" w:ascii="宋体" w:hAnsi="宋体" w:cs="宋体"/>
                <w:sz w:val="20"/>
                <w:szCs w:val="20"/>
                <w:lang w:val="en-US" w:eastAsia="zh-CN"/>
              </w:rPr>
              <w:t>76</w:t>
            </w:r>
            <w:r>
              <w:rPr>
                <w:rFonts w:ascii="宋体" w:hAnsi="宋体" w:eastAsia="宋体" w:cs="宋体"/>
                <w:sz w:val="20"/>
                <w:szCs w:val="20"/>
              </w:rPr>
              <w:t>%</w:t>
            </w:r>
          </w:p>
        </w:tc>
        <w:tc>
          <w:tcPr>
            <w:tcW w:w="19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3.13%</w:t>
            </w:r>
          </w:p>
        </w:tc>
        <w:tc>
          <w:tcPr>
            <w:tcW w:w="20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-0.</w:t>
            </w:r>
            <w:r>
              <w:rPr>
                <w:rFonts w:hint="eastAsia" w:ascii="宋体" w:hAnsi="宋体" w:cs="宋体"/>
                <w:sz w:val="20"/>
                <w:szCs w:val="20"/>
                <w:lang w:val="en-US" w:eastAsia="zh-CN"/>
              </w:rPr>
              <w:t>37</w:t>
            </w:r>
            <w:r>
              <w:rPr>
                <w:rFonts w:ascii="宋体" w:hAnsi="宋体" w:eastAsia="宋体" w:cs="宋体"/>
                <w:sz w:val="20"/>
                <w:szCs w:val="20"/>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21" w:hRule="atLeast"/>
        </w:trPr>
        <w:tc>
          <w:tcPr>
            <w:tcW w:w="3497" w:type="dxa"/>
            <w:tcBorders>
              <w:top w:val="single" w:color="auto" w:sz="2" w:space="0"/>
              <w:left w:val="single" w:color="auto" w:sz="2" w:space="0"/>
              <w:bottom w:val="single" w:color="auto" w:sz="2" w:space="0"/>
              <w:right w:val="single" w:color="auto" w:sz="2" w:space="0"/>
            </w:tcBorders>
            <w:shd w:val="clear" w:color="auto" w:fill="D3D3D3"/>
            <w:vAlign w:val="center"/>
          </w:tcPr>
          <w:p>
            <w:pPr>
              <w:rPr>
                <w:sz w:val="22"/>
                <w:szCs w:val="24"/>
              </w:rPr>
            </w:pPr>
          </w:p>
        </w:tc>
        <w:tc>
          <w:tcPr>
            <w:tcW w:w="213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20"/>
                <w:szCs w:val="20"/>
              </w:rPr>
            </w:pPr>
            <w:r>
              <w:rPr>
                <w:rFonts w:ascii="宋体" w:hAnsi="宋体" w:eastAsia="宋体" w:cs="宋体"/>
                <w:sz w:val="20"/>
                <w:szCs w:val="20"/>
              </w:rPr>
              <w:t>本报告期末</w:t>
            </w:r>
          </w:p>
        </w:tc>
        <w:tc>
          <w:tcPr>
            <w:tcW w:w="19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20"/>
                <w:szCs w:val="20"/>
              </w:rPr>
            </w:pPr>
            <w:r>
              <w:rPr>
                <w:rFonts w:ascii="宋体" w:hAnsi="宋体" w:eastAsia="宋体" w:cs="宋体"/>
                <w:sz w:val="20"/>
                <w:szCs w:val="20"/>
              </w:rPr>
              <w:t>上年度末</w:t>
            </w:r>
          </w:p>
        </w:tc>
        <w:tc>
          <w:tcPr>
            <w:tcW w:w="204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20"/>
                <w:szCs w:val="20"/>
              </w:rPr>
            </w:pPr>
            <w:r>
              <w:rPr>
                <w:rFonts w:ascii="宋体" w:hAnsi="宋体" w:eastAsia="宋体" w:cs="宋体"/>
                <w:sz w:val="20"/>
                <w:szCs w:val="20"/>
              </w:rPr>
              <w:t>本报告期末比上年度末增减（%）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63" w:hRule="atLeast"/>
        </w:trPr>
        <w:tc>
          <w:tcPr>
            <w:tcW w:w="3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20"/>
                <w:szCs w:val="20"/>
              </w:rPr>
            </w:pPr>
            <w:r>
              <w:rPr>
                <w:rFonts w:ascii="宋体" w:hAnsi="宋体" w:eastAsia="宋体" w:cs="宋体"/>
                <w:sz w:val="20"/>
                <w:szCs w:val="20"/>
              </w:rPr>
              <w:t>总资产（元）</w:t>
            </w:r>
          </w:p>
        </w:tc>
        <w:tc>
          <w:tcPr>
            <w:tcW w:w="21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5,330,644,345.86</w:t>
            </w:r>
          </w:p>
        </w:tc>
        <w:tc>
          <w:tcPr>
            <w:tcW w:w="19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6,378,570,014.95</w:t>
            </w:r>
          </w:p>
        </w:tc>
        <w:tc>
          <w:tcPr>
            <w:tcW w:w="20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-16.43%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26" w:hRule="atLeast"/>
        </w:trPr>
        <w:tc>
          <w:tcPr>
            <w:tcW w:w="349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20"/>
                <w:szCs w:val="20"/>
              </w:rPr>
            </w:pPr>
            <w:r>
              <w:rPr>
                <w:rFonts w:ascii="宋体" w:hAnsi="宋体" w:eastAsia="宋体" w:cs="宋体"/>
                <w:sz w:val="20"/>
                <w:szCs w:val="20"/>
              </w:rPr>
              <w:t>归属于上市公司股东的所有者权益（元）</w:t>
            </w:r>
          </w:p>
        </w:tc>
        <w:tc>
          <w:tcPr>
            <w:tcW w:w="213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3,204,183,541.32</w:t>
            </w:r>
          </w:p>
        </w:tc>
        <w:tc>
          <w:tcPr>
            <w:tcW w:w="19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3,207,145,328.20</w:t>
            </w:r>
          </w:p>
        </w:tc>
        <w:tc>
          <w:tcPr>
            <w:tcW w:w="204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-0.09%</w:t>
            </w:r>
          </w:p>
        </w:tc>
      </w:tr>
    </w:tbl>
    <w:p>
      <w:pPr>
        <w:spacing w:before="0" w:after="0" w:line="0" w:lineRule="exact"/>
        <w:jc w:val="left"/>
      </w:pPr>
    </w:p>
    <w:p>
      <w:pPr>
        <w:spacing w:before="0" w:after="0" w:line="0" w:lineRule="exact"/>
        <w:jc w:val="left"/>
      </w:pPr>
    </w:p>
    <w:p>
      <w:pPr>
        <w:keepNext/>
        <w:keepLines/>
        <w:spacing w:before="300" w:after="300" w:line="280" w:lineRule="exact"/>
        <w:jc w:val="left"/>
        <w:outlineLvl w:val="1"/>
        <w:rPr>
          <w:rFonts w:ascii="宋体" w:hAnsi="宋体" w:eastAsia="宋体" w:cs="宋体"/>
          <w:b/>
          <w:bCs/>
          <w:sz w:val="21"/>
          <w:szCs w:val="21"/>
        </w:rPr>
      </w:pPr>
      <w:bookmarkStart w:id="2" w:name="_Toc988891"/>
      <w:r>
        <w:rPr>
          <w:rFonts w:ascii="宋体" w:hAnsi="宋体" w:eastAsia="宋体" w:cs="宋体"/>
          <w:b/>
          <w:bCs/>
          <w:sz w:val="21"/>
          <w:szCs w:val="21"/>
        </w:rPr>
        <w:t>（二） 非经常性损益项目和金额</w:t>
      </w:r>
      <w:bookmarkEnd w:id="2"/>
    </w:p>
    <w:p>
      <w:pPr>
        <w:spacing w:before="0" w:after="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pPr w:leftFromText="180" w:rightFromText="180" w:vertAnchor="text" w:horzAnchor="page" w:tblpX="1141" w:tblpY="225"/>
        <w:tblOverlap w:val="never"/>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462"/>
        <w:gridCol w:w="2368"/>
        <w:gridCol w:w="180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7" w:hRule="atLeast"/>
        </w:trPr>
        <w:tc>
          <w:tcPr>
            <w:tcW w:w="54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20"/>
                <w:szCs w:val="20"/>
              </w:rPr>
            </w:pPr>
            <w:r>
              <w:rPr>
                <w:rFonts w:ascii="宋体" w:hAnsi="宋体" w:eastAsia="宋体" w:cs="宋体"/>
                <w:sz w:val="20"/>
                <w:szCs w:val="20"/>
              </w:rPr>
              <w:t>项目</w:t>
            </w:r>
          </w:p>
        </w:tc>
        <w:tc>
          <w:tcPr>
            <w:tcW w:w="23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20"/>
                <w:szCs w:val="20"/>
              </w:rPr>
            </w:pPr>
            <w:r>
              <w:rPr>
                <w:rFonts w:ascii="宋体" w:hAnsi="宋体" w:eastAsia="宋体" w:cs="宋体"/>
                <w:sz w:val="20"/>
                <w:szCs w:val="20"/>
              </w:rPr>
              <w:t>本报告期金额</w:t>
            </w:r>
          </w:p>
        </w:tc>
        <w:tc>
          <w:tcPr>
            <w:tcW w:w="18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20"/>
                <w:szCs w:val="20"/>
              </w:rPr>
            </w:pPr>
            <w:r>
              <w:rPr>
                <w:rFonts w:ascii="宋体" w:hAnsi="宋体" w:eastAsia="宋体" w:cs="宋体"/>
                <w:sz w:val="20"/>
                <w:szCs w:val="20"/>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86" w:hRule="atLeast"/>
        </w:trPr>
        <w:tc>
          <w:tcPr>
            <w:tcW w:w="54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20"/>
                <w:szCs w:val="20"/>
              </w:rPr>
            </w:pPr>
            <w:r>
              <w:rPr>
                <w:rFonts w:ascii="宋体" w:hAnsi="宋体" w:eastAsia="宋体" w:cs="宋体"/>
                <w:sz w:val="20"/>
                <w:szCs w:val="20"/>
              </w:rPr>
              <w:t>非流动性资产处置损益（包括已计提资产减值准备的冲销部分）</w:t>
            </w:r>
          </w:p>
        </w:tc>
        <w:tc>
          <w:tcPr>
            <w:tcW w:w="23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2,753,718.64</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0"/>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36" w:hRule="atLeast"/>
        </w:trPr>
        <w:tc>
          <w:tcPr>
            <w:tcW w:w="54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20"/>
                <w:szCs w:val="20"/>
              </w:rPr>
            </w:pPr>
            <w:r>
              <w:rPr>
                <w:rFonts w:ascii="宋体" w:hAnsi="宋体" w:eastAsia="宋体" w:cs="宋体"/>
                <w:sz w:val="20"/>
                <w:szCs w:val="20"/>
              </w:rPr>
              <w:t>计入当期损益的政府补助（与公司正常经营业务密切相关、符合国家政策规定、按照确定的标准享有、对公司损益产生持续影响的政府补助除外）</w:t>
            </w:r>
          </w:p>
        </w:tc>
        <w:tc>
          <w:tcPr>
            <w:tcW w:w="23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8,049,075.08</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0"/>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7" w:hRule="atLeast"/>
        </w:trPr>
        <w:tc>
          <w:tcPr>
            <w:tcW w:w="54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20"/>
                <w:szCs w:val="20"/>
              </w:rPr>
            </w:pPr>
            <w:r>
              <w:rPr>
                <w:rFonts w:ascii="宋体" w:hAnsi="宋体" w:eastAsia="宋体" w:cs="宋体"/>
                <w:sz w:val="20"/>
                <w:szCs w:val="20"/>
              </w:rPr>
              <w:t>单独进行减值测试的应收款项减值准备转回</w:t>
            </w:r>
          </w:p>
        </w:tc>
        <w:tc>
          <w:tcPr>
            <w:tcW w:w="23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882,708.11</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0"/>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7" w:hRule="atLeast"/>
        </w:trPr>
        <w:tc>
          <w:tcPr>
            <w:tcW w:w="54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20"/>
                <w:szCs w:val="20"/>
              </w:rPr>
            </w:pPr>
            <w:r>
              <w:rPr>
                <w:rFonts w:ascii="宋体" w:hAnsi="宋体" w:eastAsia="宋体" w:cs="宋体"/>
                <w:sz w:val="20"/>
                <w:szCs w:val="20"/>
              </w:rPr>
              <w:t>债务重组损益</w:t>
            </w:r>
          </w:p>
        </w:tc>
        <w:tc>
          <w:tcPr>
            <w:tcW w:w="23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8,107,448.95</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0"/>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7" w:hRule="atLeast"/>
        </w:trPr>
        <w:tc>
          <w:tcPr>
            <w:tcW w:w="54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20"/>
                <w:szCs w:val="20"/>
              </w:rPr>
            </w:pPr>
            <w:r>
              <w:rPr>
                <w:rFonts w:ascii="宋体" w:hAnsi="宋体" w:eastAsia="宋体" w:cs="宋体"/>
                <w:sz w:val="20"/>
                <w:szCs w:val="20"/>
              </w:rPr>
              <w:t>除上述各项之外的其他营业外收入和支出</w:t>
            </w:r>
          </w:p>
        </w:tc>
        <w:tc>
          <w:tcPr>
            <w:tcW w:w="23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1,762,155.59</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0"/>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002" w:hRule="atLeast"/>
        </w:trPr>
        <w:tc>
          <w:tcPr>
            <w:tcW w:w="54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0"/>
                <w:szCs w:val="20"/>
              </w:rPr>
            </w:pPr>
            <w:r>
              <w:rPr>
                <w:rFonts w:ascii="宋体" w:hAnsi="宋体" w:eastAsia="宋体" w:cs="宋体"/>
                <w:sz w:val="20"/>
                <w:szCs w:val="20"/>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3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-10,309,368.50</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0"/>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7" w:hRule="atLeast"/>
        </w:trPr>
        <w:tc>
          <w:tcPr>
            <w:tcW w:w="54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20"/>
                <w:szCs w:val="20"/>
              </w:rPr>
            </w:pPr>
            <w:r>
              <w:rPr>
                <w:rFonts w:ascii="宋体" w:hAnsi="宋体" w:eastAsia="宋体" w:cs="宋体"/>
                <w:sz w:val="20"/>
                <w:szCs w:val="20"/>
              </w:rPr>
              <w:t>减：所得税影响额</w:t>
            </w:r>
          </w:p>
        </w:tc>
        <w:tc>
          <w:tcPr>
            <w:tcW w:w="23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1,875,761.94</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0"/>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7" w:hRule="atLeast"/>
        </w:trPr>
        <w:tc>
          <w:tcPr>
            <w:tcW w:w="54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400" w:firstLineChars="200"/>
              <w:jc w:val="left"/>
              <w:rPr>
                <w:rFonts w:ascii="宋体" w:hAnsi="宋体" w:eastAsia="宋体" w:cs="宋体"/>
                <w:sz w:val="20"/>
                <w:szCs w:val="20"/>
              </w:rPr>
            </w:pPr>
            <w:r>
              <w:rPr>
                <w:rFonts w:ascii="宋体" w:hAnsi="宋体" w:eastAsia="宋体" w:cs="宋体"/>
                <w:sz w:val="20"/>
                <w:szCs w:val="20"/>
              </w:rPr>
              <w:t>少数股东权益影响额（税后）</w:t>
            </w:r>
          </w:p>
        </w:tc>
        <w:tc>
          <w:tcPr>
            <w:tcW w:w="23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1,199,059.83</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20"/>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2" w:hRule="atLeast"/>
        </w:trPr>
        <w:tc>
          <w:tcPr>
            <w:tcW w:w="546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20"/>
                <w:szCs w:val="20"/>
              </w:rPr>
            </w:pPr>
            <w:r>
              <w:rPr>
                <w:rFonts w:ascii="宋体" w:hAnsi="宋体" w:eastAsia="宋体" w:cs="宋体"/>
                <w:sz w:val="20"/>
                <w:szCs w:val="20"/>
              </w:rPr>
              <w:t>合计</w:t>
            </w:r>
          </w:p>
        </w:tc>
        <w:tc>
          <w:tcPr>
            <w:tcW w:w="236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20"/>
                <w:szCs w:val="20"/>
              </w:rPr>
            </w:pPr>
            <w:r>
              <w:rPr>
                <w:rFonts w:ascii="宋体" w:hAnsi="宋体" w:eastAsia="宋体" w:cs="宋体"/>
                <w:sz w:val="20"/>
                <w:szCs w:val="20"/>
              </w:rPr>
              <w:t>8,170,916.10</w:t>
            </w:r>
          </w:p>
        </w:tc>
        <w:tc>
          <w:tcPr>
            <w:tcW w:w="18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20"/>
                <w:szCs w:val="20"/>
              </w:rPr>
            </w:pPr>
            <w:r>
              <w:rPr>
                <w:rFonts w:ascii="宋体" w:hAnsi="宋体" w:eastAsia="宋体" w:cs="宋体"/>
                <w:sz w:val="20"/>
                <w:szCs w:val="20"/>
              </w:rPr>
              <w:t>--</w:t>
            </w:r>
          </w:p>
        </w:tc>
      </w:tr>
    </w:tbl>
    <w:p>
      <w:pPr>
        <w:spacing w:before="0" w:after="0" w:line="240" w:lineRule="exact"/>
        <w:jc w:val="right"/>
        <w:rPr>
          <w:rFonts w:ascii="宋体" w:hAnsi="宋体" w:eastAsia="宋体" w:cs="宋体"/>
          <w:sz w:val="18"/>
          <w:szCs w:val="18"/>
        </w:rPr>
      </w:pPr>
    </w:p>
    <w:p>
      <w:pPr>
        <w:spacing w:before="0" w:after="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其他符合非经常性损益定义的损益项目的具体情况</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公司不存在其他符合非经常性损益定义的损益项目的具体情况。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将《公开发行证券的公司信息披露解释性公告第1号——非经常性损益》中列举的非经常性损益项目界定为经常性损益项目的情况说明
</w:t>
      </w:r>
    </w:p>
    <w:p>
      <w:pPr>
        <w:spacing w:before="0" w:after="0" w:line="240" w:lineRule="exact"/>
        <w:jc w:val="left"/>
        <w:rPr>
          <w:rFonts w:ascii="宋体" w:hAnsi="宋体" w:eastAsia="宋体" w:cs="宋体"/>
          <w:sz w:val="18"/>
          <w:szCs w:val="18"/>
        </w:rPr>
      </w:pPr>
      <w:r>
        <w:rPr>
          <w:rFonts w:ascii="宋体" w:hAnsi="宋体" w:eastAsia="宋体" w:cs="宋体"/>
          <w:sz w:val="18"/>
          <w:szCs w:val="18"/>
        </w:rPr>
        <w:sym w:font="Wingdings 2" w:char="00A3"/>
      </w:r>
      <w:r>
        <w:rPr>
          <w:rFonts w:ascii="宋体" w:hAnsi="宋体" w:eastAsia="宋体" w:cs="宋体"/>
          <w:sz w:val="18"/>
          <w:szCs w:val="18"/>
        </w:rPr>
        <w:t xml:space="preserve">适用 </w:t>
      </w:r>
      <w:r>
        <w:rPr>
          <w:rFonts w:hint="eastAsia" w:ascii="宋体" w:hAnsi="宋体" w:cs="宋体"/>
          <w:sz w:val="18"/>
          <w:szCs w:val="18"/>
          <w:lang w:eastAsia="zh-CN"/>
        </w:rPr>
        <w:t>☑</w:t>
      </w:r>
      <w:r>
        <w:rPr>
          <w:rFonts w:ascii="宋体" w:hAnsi="宋体" w:eastAsia="宋体" w:cs="宋体"/>
          <w:sz w:val="18"/>
          <w:szCs w:val="18"/>
        </w:rPr>
        <w:t>不适用</w:t>
      </w:r>
    </w:p>
    <w:p>
      <w:pPr>
        <w:keepNext/>
        <w:keepLines/>
        <w:spacing w:before="300" w:after="300" w:line="280" w:lineRule="exact"/>
        <w:jc w:val="left"/>
        <w:outlineLvl w:val="1"/>
        <w:rPr>
          <w:rFonts w:ascii="宋体" w:hAnsi="宋体" w:eastAsia="宋体" w:cs="宋体"/>
          <w:b/>
          <w:bCs/>
          <w:sz w:val="21"/>
          <w:szCs w:val="21"/>
        </w:rPr>
      </w:pPr>
      <w:bookmarkStart w:id="3" w:name="_Toc988892"/>
      <w:r>
        <w:rPr>
          <w:rFonts w:ascii="宋体" w:hAnsi="宋体" w:eastAsia="宋体" w:cs="宋体"/>
          <w:b/>
          <w:bCs/>
          <w:sz w:val="21"/>
          <w:szCs w:val="21"/>
        </w:rPr>
        <w:t>（三） 主要会计数据和财务指标发生变动的情况及原因</w:t>
      </w:r>
      <w:bookmarkEnd w:id="3"/>
    </w:p>
    <w:p>
      <w:pPr>
        <w:spacing w:before="0" w:after="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ascii="Calibri" w:hAnsi="Calibri" w:cs="Calibri"/>
          <w:sz w:val="21"/>
          <w:szCs w:val="21"/>
        </w:rPr>
      </w:pPr>
      <w:r>
        <w:rPr>
          <w:rFonts w:hint="eastAsia" w:ascii="宋体" w:hAnsi="宋体" w:eastAsia="宋体" w:cs="宋体"/>
          <w:i w:val="0"/>
          <w:iCs w:val="0"/>
          <w:caps w:val="0"/>
          <w:color w:val="000000"/>
          <w:spacing w:val="0"/>
          <w:sz w:val="21"/>
          <w:szCs w:val="21"/>
        </w:rPr>
        <w:t>1、资产负债表项目变动情况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（1）货币资金比年初减少120,482.06万元，减少53.5%。主要系公司报告期购置厂房支付</w:t>
      </w:r>
      <w:r>
        <w:rPr>
          <w:rFonts w:hint="eastAsia" w:ascii="宋体" w:hAnsi="宋体" w:cs="宋体"/>
          <w:i w:val="0"/>
          <w:iCs w:val="0"/>
          <w:caps w:val="0"/>
          <w:color w:val="000000"/>
          <w:spacing w:val="0"/>
          <w:sz w:val="21"/>
          <w:szCs w:val="21"/>
          <w:lang w:val="en-US" w:eastAsia="zh-CN"/>
        </w:rPr>
        <w:t>约</w:t>
      </w:r>
      <w:r>
        <w:rPr>
          <w:rFonts w:hint="eastAsia" w:ascii="宋体" w:hAnsi="宋体" w:eastAsia="宋体" w:cs="宋体"/>
          <w:i w:val="0"/>
          <w:iCs w:val="0"/>
          <w:caps w:val="0"/>
          <w:color w:val="000000"/>
          <w:spacing w:val="0"/>
          <w:sz w:val="21"/>
          <w:szCs w:val="21"/>
        </w:rPr>
        <w:t>2亿元，回购股份支付1亿元，支付</w:t>
      </w:r>
      <w:r>
        <w:rPr>
          <w:rFonts w:hint="eastAsia" w:ascii="宋体" w:hAnsi="宋体" w:eastAsia="宋体" w:cs="宋体"/>
          <w:i w:val="0"/>
          <w:iCs w:val="0"/>
          <w:caps w:val="0"/>
          <w:color w:val="000000"/>
          <w:spacing w:val="0"/>
          <w:sz w:val="21"/>
          <w:szCs w:val="21"/>
          <w:lang w:val="en-US" w:eastAsia="zh-CN"/>
        </w:rPr>
        <w:t>账期</w:t>
      </w:r>
      <w:r>
        <w:rPr>
          <w:rFonts w:hint="eastAsia" w:ascii="宋体" w:hAnsi="宋体" w:eastAsia="宋体" w:cs="宋体"/>
          <w:i w:val="0"/>
          <w:iCs w:val="0"/>
          <w:caps w:val="0"/>
          <w:color w:val="000000"/>
          <w:spacing w:val="0"/>
          <w:sz w:val="21"/>
          <w:szCs w:val="21"/>
        </w:rPr>
        <w:t>到期</w:t>
      </w:r>
      <w:r>
        <w:rPr>
          <w:rFonts w:hint="eastAsia" w:ascii="宋体" w:hAnsi="宋体" w:eastAsia="宋体" w:cs="宋体"/>
          <w:i w:val="0"/>
          <w:iCs w:val="0"/>
          <w:caps w:val="0"/>
          <w:color w:val="000000"/>
          <w:spacing w:val="0"/>
          <w:sz w:val="21"/>
          <w:szCs w:val="21"/>
          <w:lang w:val="en-US" w:eastAsia="zh-CN"/>
        </w:rPr>
        <w:t>的购</w:t>
      </w:r>
      <w:r>
        <w:rPr>
          <w:rFonts w:hint="eastAsia" w:ascii="宋体" w:hAnsi="宋体" w:eastAsia="宋体" w:cs="宋体"/>
          <w:i w:val="0"/>
          <w:iCs w:val="0"/>
          <w:caps w:val="0"/>
          <w:color w:val="000000"/>
          <w:spacing w:val="0"/>
          <w:sz w:val="21"/>
          <w:szCs w:val="21"/>
        </w:rPr>
        <w:t>货款、</w:t>
      </w:r>
      <w:r>
        <w:rPr>
          <w:rFonts w:hint="eastAsia" w:ascii="宋体" w:hAnsi="宋体" w:cs="宋体"/>
          <w:i w:val="0"/>
          <w:iCs w:val="0"/>
          <w:caps w:val="0"/>
          <w:color w:val="000000"/>
          <w:spacing w:val="0"/>
          <w:sz w:val="21"/>
          <w:szCs w:val="21"/>
          <w:lang w:val="en-US" w:eastAsia="zh-CN"/>
        </w:rPr>
        <w:t>20</w:t>
      </w:r>
      <w:r>
        <w:rPr>
          <w:rFonts w:hint="eastAsia" w:ascii="宋体" w:hAnsi="宋体" w:eastAsia="宋体" w:cs="宋体"/>
          <w:i w:val="0"/>
          <w:iCs w:val="0"/>
          <w:caps w:val="0"/>
          <w:color w:val="000000"/>
          <w:spacing w:val="0"/>
          <w:sz w:val="21"/>
          <w:szCs w:val="21"/>
        </w:rPr>
        <w:t>23年4季度所得税和</w:t>
      </w:r>
      <w:r>
        <w:rPr>
          <w:rFonts w:hint="eastAsia" w:ascii="宋体" w:hAnsi="宋体" w:cs="宋体"/>
          <w:i w:val="0"/>
          <w:iCs w:val="0"/>
          <w:caps w:val="0"/>
          <w:color w:val="000000"/>
          <w:spacing w:val="0"/>
          <w:sz w:val="21"/>
          <w:szCs w:val="21"/>
          <w:lang w:val="en-US" w:eastAsia="zh-CN"/>
        </w:rPr>
        <w:t>20</w:t>
      </w:r>
      <w:r>
        <w:rPr>
          <w:rFonts w:hint="eastAsia" w:ascii="宋体" w:hAnsi="宋体" w:eastAsia="宋体" w:cs="宋体"/>
          <w:i w:val="0"/>
          <w:iCs w:val="0"/>
          <w:caps w:val="0"/>
          <w:color w:val="000000"/>
          <w:spacing w:val="0"/>
          <w:sz w:val="21"/>
          <w:szCs w:val="21"/>
        </w:rPr>
        <w:t>23年度奖金所致；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（2）应收票据比年初减少2,072.90万元，减少51.49%。主要系公司应收票据到期兑付所致；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（3）应收款项融资比年初减少649.50万元</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减少45.45%。主要系公司报告期银行承兑汇票背书转让所致；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（4）预付货款比年初增加1,299.23万元</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增加36.26%。主要系子公司预付货款增加所致；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（5）其他流动资产比年初增加1,436.37万元，增加93.25%。主要系报告期购买房产增值税进项留抵税金增加所致；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（6）固定资产比年初增加17,618.80万元，增加36.87%。主要系公司报告期购置生产用厂房所致；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（7）使用权资产比年初减少2,334.86万元，减少41.54%。主要系报告期购置生产用厂房，租赁用房减少所致；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（8）其他非流动资产比年初增加1,762.24万元，增加33.60%。主要系公司报告期预付长期资产购置款增加所致；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（9）短期借款比年初减少3,915.00万元，减少65.09%。主要系公司报告期信用证到期偿付所致；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 xml:space="preserve">（10）应付账款比年初减少78,850.38万元 </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减少42.31%。主要系公司支付账期到期的购货款所致；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（11）应付职工薪酬比年初减少4,882.49万元，减少56.29%。主要系公司上年度奖金在本期发放所致；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（12）应交税金比年初减少12,540.95万元</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减少56.04%。主要系上年度四季度所得税在本期支付所致；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（13）一年内到期的非流动负债比年初减少1,318.85万元，减少63.98%。主要系本期生产用房租赁终止所致；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（14）递延所得税负债比年初减少365.77万元，减少32.44%。主要系本期子公司其他非流动金融资产公允价值变动损益确认的递延所得税负债减少；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（15）库存股比年初增加10,000.08万元，增加76.23%。主要系本期回购股份1,063.36万股。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2、利润表项目变动的原因说明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（1）营业收入同比增加37,094.28万元，增加33.37%。主要系公司本期装饰材料业务收入同比增长36.1%；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（2）营业成本同比增加35,895.69万元，增加41.80%，主要系公司营业收入增加，相应成本增加；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（3）财务费用同比减少954.73万元，减少323.35%，主要系公司报告期利息收入同比增加；归还流动资金贷款，支付的利息相应减少；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（4</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其他收益同比增加632.21万元，增加184.97%，主要系公司报告期收到的政府补助同比增加所致；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5</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投资收益同比增加519.38万元，增加77.83%，主要系报告期子公司青岛裕丰汉唐木业有限公司债务重组收益同比增加；</w:t>
      </w:r>
      <w:r>
        <w:rPr>
          <w:rFonts w:hint="eastAsia" w:ascii="宋体" w:hAnsi="宋体" w:cs="宋体"/>
          <w:i w:val="0"/>
          <w:iCs w:val="0"/>
          <w:caps w:val="0"/>
          <w:color w:val="000000"/>
          <w:spacing w:val="0"/>
          <w:sz w:val="21"/>
          <w:szCs w:val="21"/>
          <w:lang w:val="en-US" w:eastAsia="zh-CN"/>
        </w:rPr>
        <w:t>子公司</w:t>
      </w:r>
      <w:r>
        <w:rPr>
          <w:rFonts w:hint="eastAsia" w:ascii="宋体" w:hAnsi="宋体" w:eastAsia="宋体" w:cs="宋体"/>
          <w:i w:val="0"/>
          <w:iCs w:val="0"/>
          <w:caps w:val="0"/>
          <w:color w:val="000000"/>
          <w:spacing w:val="0"/>
          <w:sz w:val="21"/>
          <w:szCs w:val="21"/>
        </w:rPr>
        <w:t>处置非流动金融资产收益增加所致；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6</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公允价值变动收益同比减少1,237.68万元，减少598.67%，主要系公司报告期其他非流动金融资产公允价值变动收益同比减少所致；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7</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信用减值损失同比增加2,086.31万元，增加1,438.38%，主要系报告期计提的应收账款和其他应收款减值计提同比增加所致；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（8）营业外收入同比减少155.22万元，减少37.60%，主要系公司报告期赔款收入及罚没的保证金收入同比减少所致；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（9</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营业外支出同比减少27.16万元，减少48.94%，主要系公司报告期赔款支出同比减少所致；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eastAsia" w:ascii="Calibri" w:hAnsi="Calibri" w:eastAsia="宋体" w:cs="Calibri"/>
          <w:sz w:val="21"/>
          <w:szCs w:val="21"/>
          <w:lang w:val="en-US" w:eastAsia="zh-CN"/>
        </w:rPr>
      </w:pP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10</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少数股东损益同比增加57.98万元，增加651.54%，主要系公司报告期非全资控股子公司利润同比增加所致</w:t>
      </w:r>
      <w:r>
        <w:rPr>
          <w:rFonts w:hint="eastAsia" w:ascii="宋体" w:hAnsi="宋体" w:cs="宋体"/>
          <w:i w:val="0"/>
          <w:iCs w:val="0"/>
          <w:caps w:val="0"/>
          <w:color w:val="000000"/>
          <w:spacing w:val="0"/>
          <w:sz w:val="21"/>
          <w:szCs w:val="21"/>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3、现金流量表项目变动的原因说明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（1）经营活动产生的现金流量净额同比减少80,247.38万元，减少1,018.81%</w:t>
      </w:r>
      <w:bookmarkStart w:id="15" w:name="_GoBack"/>
      <w:bookmarkEnd w:id="15"/>
      <w:r>
        <w:rPr>
          <w:rFonts w:hint="eastAsia" w:ascii="宋体" w:hAnsi="宋体" w:eastAsia="宋体" w:cs="宋体"/>
          <w:i w:val="0"/>
          <w:iCs w:val="0"/>
          <w:caps w:val="0"/>
          <w:color w:val="000000"/>
          <w:spacing w:val="0"/>
          <w:sz w:val="21"/>
          <w:szCs w:val="21"/>
        </w:rPr>
        <w:t>。主要系公司购买商品货款账期到期支付所致；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（2）投资活动产生的现金流量净额同比减少19,657.01万元，同比减少1,111.83%；主要系公司本期购买固定资产支付的现金同比增加，处置子公司收到的现金同比减少所致；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firstLineChars="200"/>
        <w:jc w:val="both"/>
        <w:textAlignment w:val="auto"/>
        <w:rPr>
          <w:rFonts w:hint="default" w:ascii="Calibri" w:hAnsi="Calibri" w:cs="Calibri"/>
          <w:sz w:val="21"/>
          <w:szCs w:val="21"/>
        </w:rPr>
      </w:pPr>
      <w:r>
        <w:rPr>
          <w:rFonts w:hint="eastAsia" w:ascii="宋体" w:hAnsi="宋体" w:eastAsia="宋体" w:cs="宋体"/>
          <w:i w:val="0"/>
          <w:iCs w:val="0"/>
          <w:caps w:val="0"/>
          <w:color w:val="000000"/>
          <w:spacing w:val="0"/>
          <w:sz w:val="21"/>
          <w:szCs w:val="21"/>
        </w:rPr>
        <w:t>（3）筹资活动产生的现金流量净额同比减少52,398.92万元，同比减少136.55%。主要系去年同期定向发行股份吸收投资收到的现金4.62亿所致。</w:t>
      </w:r>
    </w:p>
    <w:p>
      <w:pPr>
        <w:keepNext/>
        <w:keepLines/>
        <w:spacing w:before="300" w:after="300" w:line="320" w:lineRule="exact"/>
        <w:jc w:val="left"/>
        <w:outlineLvl w:val="0"/>
        <w:rPr>
          <w:rFonts w:ascii="宋体" w:hAnsi="宋体" w:eastAsia="宋体" w:cs="宋体"/>
          <w:b/>
          <w:bCs/>
          <w:sz w:val="24"/>
          <w:szCs w:val="24"/>
        </w:rPr>
      </w:pPr>
      <w:bookmarkStart w:id="4" w:name="_Toc988893"/>
      <w:r>
        <w:rPr>
          <w:rFonts w:ascii="宋体" w:hAnsi="宋体" w:eastAsia="宋体" w:cs="宋体"/>
          <w:b/>
          <w:bCs/>
          <w:sz w:val="24"/>
          <w:szCs w:val="24"/>
        </w:rPr>
        <w:t xml:space="preserve">二、股东信息 </w:t>
      </w:r>
      <w:bookmarkEnd w:id="4"/>
    </w:p>
    <w:p>
      <w:pPr>
        <w:keepNext/>
        <w:keepLines/>
        <w:spacing w:before="300" w:after="300" w:line="280" w:lineRule="exact"/>
        <w:jc w:val="left"/>
        <w:outlineLvl w:val="1"/>
        <w:rPr>
          <w:rFonts w:ascii="宋体" w:hAnsi="宋体" w:eastAsia="宋体" w:cs="宋体"/>
          <w:b/>
          <w:bCs/>
          <w:sz w:val="21"/>
          <w:szCs w:val="21"/>
        </w:rPr>
      </w:pPr>
      <w:bookmarkStart w:id="5" w:name="_Toc988894"/>
      <w:r>
        <w:rPr>
          <w:rFonts w:ascii="宋体" w:hAnsi="宋体" w:eastAsia="宋体" w:cs="宋体"/>
          <w:b/>
          <w:bCs/>
          <w:sz w:val="21"/>
          <w:szCs w:val="21"/>
        </w:rPr>
        <w:t>（一） 普通股股东总数和表决权恢复的优先股股东数量及前十名股东持股情况表</w:t>
      </w:r>
      <w:bookmarkEnd w:id="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报告期末普通股股东总数</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63,432</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报告期末表决权恢复的优先股股东总数（如有）</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前10名股东持股情况（不含通过转融通出借股份）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股东性质</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持股数量</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持有有限售条件的股份数量</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股份状态</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德华集团控股股份有限公司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300,773,456.00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71,428,571.00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质押</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德华创业投资有限公司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50,813,008.00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漆勇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33,756,000.00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全国社保基金四一三组合</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22,538,802.00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丁鸿敏</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20,325,204.00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15,243,903.00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招商银行股份有限公司－东方阿尔法产业先锋混合型发起式证券投资基金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8,788,417.00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汇添富基金管理股份有限公司－社保基金四二三组合</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7,934,095.00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香港中央结算有限公司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境外法人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7,628,459.00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德华兔宝宝装饰新材股份有限公司－第二期员工持股计划</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6,702,000.00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中国银行股份有限公司－国投瑞银瑞盈灵活配置混合型证券投资基金（LOF）</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6,160,118.00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前10名无限售条件股东持股情况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4131" w:type="dxa"/>
            <w:gridSpan w:val="3"/>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持有无限售条件股份数量</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vMerge w:val="continue"/>
            <w:tcBorders>
              <w:top w:val="single" w:color="auto" w:sz="2" w:space="0"/>
              <w:left w:val="single" w:color="auto" w:sz="2" w:space="0"/>
              <w:bottom w:val="single" w:color="auto" w:sz="2" w:space="0"/>
              <w:right w:val="single" w:color="auto" w:sz="2" w:space="0"/>
            </w:tcBorders>
            <w:vAlign w:val="center"/>
          </w:tcPr>
          <w:p/>
        </w:tc>
        <w:tc>
          <w:tcPr>
            <w:tcW w:w="4131" w:type="dxa"/>
            <w:gridSpan w:val="3"/>
            <w:vMerge w:val="continue"/>
            <w:tcBorders>
              <w:top w:val="single" w:color="auto" w:sz="2" w:space="0"/>
              <w:left w:val="single" w:color="auto" w:sz="2" w:space="0"/>
              <w:bottom w:val="single" w:color="auto" w:sz="2" w:space="0"/>
              <w:right w:val="single" w:color="auto" w:sz="2" w:space="0"/>
            </w:tcBorders>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股份种类</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德华集团控股股份有限公司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229,344,885.00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229,344,885.00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德华创业投资有限公司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50,813,008.00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50,813,008.00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漆勇</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33,456,000.00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33,456,000.00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全国社保基金四一三组合</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22,538,802.00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22,538,802.00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招商银行股份有限公司－东方阿尔法产业先锋混合型发起式证券投资基金</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8,788,417.00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8,788,417.00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汇添富基金管理股份有限公司－社保基金四二三组合</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7,934,095.00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7,934,095.00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香港中央结算有限公司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7,628,459.00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7,628,459.00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德华兔宝宝装饰新材股份有限公司－第二期员工持股计划</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6,702,000.00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6,702,000.00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中国银行股份有限公司－国投瑞银瑞盈灵活配置混合型证券投资基金（LOF）</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6,160,118.00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6,160,118.00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中国农业银行股份有限公司－工银瑞信战略转型主题股票型证券投资基金</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5,800,700.00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5,800,700.00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上述股东关联关系或一致行动的说明</w:t>
            </w:r>
          </w:p>
        </w:tc>
        <w:tc>
          <w:tcPr>
            <w:tcW w:w="5508"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前10名股东中，德华集团控股股份有限公司为本公司的控股股东，与公司实际控制人丁鸿敏及德华集团的控股子公司德华创业投资有限公司为一致行动人；与其他股东不存在关联关系，也不属于《上市公司收购管理办法》中规定的一致行动人。除此之外，本公司未知其他股东之间是否存在关联关系，也未知其他股东之间是否属于《上市公司收购管理办法》中规定的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前10名股东参与融资融券业务情况说明（如有）</w:t>
            </w:r>
          </w:p>
        </w:tc>
        <w:tc>
          <w:tcPr>
            <w:tcW w:w="5508"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spacing w:line="360" w:lineRule="auto"/>
        <w:rPr>
          <w:rFonts w:hint="eastAsia" w:ascii="宋体" w:hAnsi="宋体" w:eastAsia="宋体" w:cs="宋体"/>
        </w:rPr>
      </w:pPr>
      <w:r>
        <w:rPr>
          <w:rFonts w:hint="eastAsia" w:ascii="宋体" w:hAnsi="宋体" w:eastAsia="宋体" w:cs="宋体"/>
        </w:rPr>
        <w:t>注：公司回购专用证券账户持股比例为1.27%，报告期末持有的普通股数量为10,633,361股。</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持股5%以上股东、前10名股东及前10名无限售流通股股东参与转融通业务出借股份情况</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前10名股东及前10名无限售流通股股东因转融通出借/归还原因导致较上期发生变化</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1"/>
        <w:rPr>
          <w:rFonts w:ascii="宋体" w:hAnsi="宋体" w:eastAsia="宋体" w:cs="宋体"/>
          <w:b/>
          <w:bCs/>
          <w:sz w:val="21"/>
          <w:szCs w:val="21"/>
        </w:rPr>
      </w:pPr>
      <w:bookmarkStart w:id="6" w:name="_Toc988895"/>
      <w:r>
        <w:rPr>
          <w:rFonts w:ascii="宋体" w:hAnsi="宋体" w:eastAsia="宋体" w:cs="宋体"/>
          <w:b/>
          <w:bCs/>
          <w:sz w:val="21"/>
          <w:szCs w:val="21"/>
        </w:rPr>
        <w:t>（二） 公司优先股股东总数及前10名优先股股东持股情况表</w:t>
      </w:r>
      <w:bookmarkEnd w:id="6"/>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0"/>
        <w:rPr>
          <w:rFonts w:ascii="宋体" w:hAnsi="宋体" w:eastAsia="宋体" w:cs="宋体"/>
          <w:b/>
          <w:bCs/>
          <w:sz w:val="24"/>
          <w:szCs w:val="24"/>
        </w:rPr>
      </w:pPr>
      <w:bookmarkStart w:id="7" w:name="_Toc988896"/>
      <w:r>
        <w:rPr>
          <w:rFonts w:ascii="宋体" w:hAnsi="宋体" w:eastAsia="宋体" w:cs="宋体"/>
          <w:b/>
          <w:bCs/>
          <w:sz w:val="24"/>
          <w:szCs w:val="24"/>
        </w:rPr>
        <w:t>三、其他重要事项</w:t>
      </w:r>
      <w:bookmarkEnd w:id="7"/>
    </w:p>
    <w:p>
      <w:pPr>
        <w:spacing w:before="0" w:after="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2"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公司于2024年1月5日召开第八届董事会第六次会议，审议通过了《关于回购公司股份方案的议案》，同意公司使用自有资金以集中竞价方式回购公司股份，回购资金总额不低于人民币1亿元（含）且不超过人民币2亿元（含），回购价格不超过人民币13.60元/股（含），本次回购股份用于维护公司价值及股东权益所必需，回购实施期限自董事会审议通过本次回购股份方案之日起3个月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2" w:lineRule="auto"/>
        <w:ind w:firstLine="420" w:firstLineChars="200"/>
        <w:jc w:val="both"/>
        <w:textAlignment w:val="auto"/>
        <w:rPr>
          <w:sz w:val="21"/>
          <w:szCs w:val="21"/>
        </w:rPr>
      </w:pPr>
      <w:r>
        <w:rPr>
          <w:rFonts w:hint="eastAsia" w:ascii="宋体" w:hAnsi="宋体" w:eastAsia="宋体" w:cs="宋体"/>
          <w:sz w:val="21"/>
          <w:szCs w:val="21"/>
        </w:rPr>
        <w:t>截至2024年3月28日，公司通过股份回购专用证券账户以集中竞价交易方式累计回购公司股票10,633,361股，占公司总股本的1.27%。实际回购期间为2024年1月10日至2024年3月28日，其中最高成交价为10.32元/股，最低成交价为8.80元/股，成交总金额为人民币100,000,772.53元（含交易费用）。至此，本次回购股份方案实施完毕。具体内容详见公司于2024年3月30日在《中国证券报》《证券时报》和巨潮资讯网</w:t>
      </w:r>
      <w:r>
        <w:rPr>
          <w:rFonts w:hint="eastAsia" w:ascii="宋体" w:hAnsi="宋体" w:eastAsia="宋体" w:cs="宋体"/>
          <w:color w:val="auto"/>
          <w:sz w:val="21"/>
          <w:szCs w:val="21"/>
        </w:rPr>
        <w:t>（</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"www.cninfo.com.cn" </w:instrText>
      </w:r>
      <w:r>
        <w:rPr>
          <w:rFonts w:hint="eastAsia" w:ascii="宋体" w:hAnsi="宋体" w:eastAsia="宋体" w:cs="宋体"/>
          <w:color w:val="auto"/>
          <w:sz w:val="21"/>
          <w:szCs w:val="21"/>
        </w:rPr>
        <w:fldChar w:fldCharType="separate"/>
      </w:r>
      <w:r>
        <w:rPr>
          <w:rStyle w:val="5"/>
          <w:rFonts w:hint="eastAsia" w:ascii="宋体" w:hAnsi="宋体" w:eastAsia="宋体" w:cs="宋体"/>
          <w:color w:val="auto"/>
          <w:sz w:val="21"/>
          <w:szCs w:val="21"/>
        </w:rPr>
        <w:t>www.cninfo.com.cn</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）披露的</w:t>
      </w:r>
      <w:r>
        <w:rPr>
          <w:rFonts w:hint="eastAsia" w:ascii="宋体" w:hAnsi="宋体" w:eastAsia="宋体" w:cs="宋体"/>
          <w:sz w:val="21"/>
          <w:szCs w:val="21"/>
        </w:rPr>
        <w:t>《关于回购公司股份方案实施完毕的公告》。</w:t>
      </w:r>
    </w:p>
    <w:p>
      <w:pPr>
        <w:keepNext/>
        <w:keepLines/>
        <w:spacing w:before="300" w:after="300" w:line="320" w:lineRule="exact"/>
        <w:jc w:val="left"/>
        <w:outlineLvl w:val="0"/>
        <w:rPr>
          <w:rFonts w:ascii="宋体" w:hAnsi="宋体" w:eastAsia="宋体" w:cs="宋体"/>
          <w:b/>
          <w:bCs/>
          <w:sz w:val="24"/>
          <w:szCs w:val="24"/>
        </w:rPr>
      </w:pPr>
      <w:bookmarkStart w:id="8" w:name="_Toc988897"/>
      <w:r>
        <w:rPr>
          <w:rFonts w:ascii="宋体" w:hAnsi="宋体" w:eastAsia="宋体" w:cs="宋体"/>
          <w:b/>
          <w:bCs/>
          <w:sz w:val="24"/>
          <w:szCs w:val="24"/>
        </w:rPr>
        <w:t>四、季度财务报表</w:t>
      </w:r>
      <w:bookmarkEnd w:id="8"/>
    </w:p>
    <w:p>
      <w:pPr>
        <w:keepNext/>
        <w:keepLines/>
        <w:spacing w:before="300" w:after="300" w:line="280" w:lineRule="exact"/>
        <w:jc w:val="left"/>
        <w:outlineLvl w:val="1"/>
        <w:rPr>
          <w:rFonts w:ascii="宋体" w:hAnsi="宋体" w:eastAsia="宋体" w:cs="宋体"/>
          <w:b/>
          <w:bCs/>
          <w:sz w:val="21"/>
          <w:szCs w:val="21"/>
        </w:rPr>
      </w:pPr>
      <w:bookmarkStart w:id="9" w:name="_Toc988898"/>
      <w:r>
        <w:rPr>
          <w:rFonts w:ascii="宋体" w:hAnsi="宋体" w:eastAsia="宋体" w:cs="宋体"/>
          <w:b/>
          <w:bCs/>
          <w:sz w:val="21"/>
          <w:szCs w:val="21"/>
        </w:rPr>
        <w:t>（一） 财务报表</w:t>
      </w:r>
      <w:bookmarkEnd w:id="9"/>
    </w:p>
    <w:p>
      <w:pPr>
        <w:keepNext/>
        <w:keepLines/>
        <w:spacing w:before="300" w:after="300" w:line="280" w:lineRule="exact"/>
        <w:jc w:val="left"/>
        <w:outlineLvl w:val="2"/>
        <w:rPr>
          <w:rFonts w:ascii="宋体" w:hAnsi="宋体" w:eastAsia="宋体" w:cs="宋体"/>
          <w:b/>
          <w:bCs/>
          <w:sz w:val="21"/>
          <w:szCs w:val="21"/>
        </w:rPr>
      </w:pPr>
      <w:bookmarkStart w:id="10" w:name="_Toc988899"/>
      <w:r>
        <w:rPr>
          <w:rFonts w:ascii="宋体" w:hAnsi="宋体" w:eastAsia="宋体" w:cs="宋体"/>
          <w:b/>
          <w:bCs/>
          <w:sz w:val="21"/>
          <w:szCs w:val="21"/>
        </w:rPr>
        <w:t>1、合并资产负债表</w:t>
      </w:r>
      <w:bookmarkEnd w:id="10"/>
    </w:p>
    <w:p>
      <w:pPr>
        <w:spacing w:before="0" w:after="0" w:line="240" w:lineRule="exact"/>
        <w:jc w:val="left"/>
        <w:rPr>
          <w:rFonts w:ascii="宋体" w:hAnsi="宋体" w:eastAsia="宋体" w:cs="宋体"/>
          <w:sz w:val="18"/>
          <w:szCs w:val="18"/>
        </w:rPr>
      </w:pPr>
      <w:r>
        <w:rPr>
          <w:rFonts w:ascii="宋体" w:hAnsi="宋体" w:eastAsia="宋体" w:cs="宋体"/>
          <w:sz w:val="18"/>
          <w:szCs w:val="18"/>
        </w:rPr>
        <w:t>编制单位：德华兔宝宝装饰新材股份有限公司</w:t>
      </w:r>
    </w:p>
    <w:p>
      <w:pPr>
        <w:spacing w:before="0" w:after="0" w:line="240" w:lineRule="exact"/>
        <w:jc w:val="center"/>
        <w:rPr>
          <w:rFonts w:ascii="宋体" w:hAnsi="宋体" w:eastAsia="宋体" w:cs="宋体"/>
          <w:sz w:val="18"/>
          <w:szCs w:val="18"/>
        </w:rPr>
      </w:pPr>
      <w:r>
        <w:rPr>
          <w:rFonts w:ascii="宋体" w:hAnsi="宋体" w:eastAsia="宋体" w:cs="宋体"/>
          <w:sz w:val="18"/>
          <w:szCs w:val="18"/>
        </w:rPr>
        <w:t>2024年03月31日</w:t>
      </w:r>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1,047,184,113.82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2,252,004,763.75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19,529,588.52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40,258,548.76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1,105,399,074.95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1,129,690,275.47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7,794,280.03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14,289,318.32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48,820,080.63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35,827,799.61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50,631,956.54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69,041,935.51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495,949,591.96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434,589,857.50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其中：数据资源</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43,046,511.83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45,627,127.67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29,774,980.17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15,407,303.46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2,848,130,178.45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4,036,736,930.05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4,012,845.12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3,855,107.12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591,408,637.35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631,718,005.85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47,291,201.37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41,977,822.27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654,085,433.12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477,897,397.75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37,785,578.49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32,775,495.00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32,860,357.62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56,208,913.13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92,435,653.09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94,523,122.87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其中：数据资源</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其中：数据资源</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761,332,170.03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761,332,170.03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16,048,431.85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16,804,570.52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175,189,557.28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172,298,590.22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70,064,302.09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52,441,890.14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2,482,514,167.41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2,341,833,084.90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5,330,644,345.86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6,378,570,014.95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92,600,000.00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1,075,117,694.33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1,863,621,489.89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210,071,667.27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223,203,001.81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37,911,039.29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86,735,951.78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98,379,483.69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223,789,001.85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362,190,859.87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346,455,052.22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22,168,380.00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22,168,380.00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7,425,995.48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20,614,501.30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19,586,754.17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21,679,964.36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1,924,283,494.10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2,963,848,963.21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23,085,714.68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28,404,109.77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9,538,695.17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9,521,740.88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1,380,661.00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1,380,661.00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22,284,839.97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19,370,401.55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7,619,072.63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11,276,737.32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63,908,983.45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69,953,650.52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1,988,192,477.55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3,033,802,613.73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839,146,372.00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839,146,372.00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661,654,978.62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653,446,335.43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231,187,292.53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131,186,520.00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3,894,030.12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3,611,615.96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179,084,894.01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179,084,894.01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1,751,590,559.10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1,663,042,630.80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3,204,183,541.32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3,207,145,328.20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138,268,326.99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137,622,073.02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3,342,451,868.31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3,344,767,401.22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5,330,644,345.86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6,378,570,014.95</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法定代表人：丁鸿敏    主管会计工作负责人：陆利华      会计机构负责人：谢新</w:t>
      </w:r>
    </w:p>
    <w:p>
      <w:pPr>
        <w:keepNext/>
        <w:keepLines/>
        <w:spacing w:before="300" w:after="300" w:line="280" w:lineRule="exact"/>
        <w:jc w:val="left"/>
        <w:outlineLvl w:val="2"/>
        <w:rPr>
          <w:rFonts w:ascii="宋体" w:hAnsi="宋体" w:eastAsia="宋体" w:cs="宋体"/>
          <w:b/>
          <w:bCs/>
          <w:sz w:val="21"/>
          <w:szCs w:val="21"/>
        </w:rPr>
      </w:pPr>
      <w:bookmarkStart w:id="11" w:name="_Toc988900"/>
      <w:r>
        <w:rPr>
          <w:rFonts w:ascii="宋体" w:hAnsi="宋体" w:eastAsia="宋体" w:cs="宋体"/>
          <w:b/>
          <w:bCs/>
          <w:sz w:val="21"/>
          <w:szCs w:val="21"/>
        </w:rPr>
        <w:t>2、合并利润表</w:t>
      </w:r>
      <w:bookmarkEnd w:id="1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一、营业总收入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1,482,677,481.07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1,111,734,656.89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1,482,677,481.07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1,111,734,656.89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已赚保费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二、营业总成本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1,352,701,800.21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1,013,368,914.59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1,217,798,049.96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858,841,118.95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退保金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赔付支出净额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提取保险责任准备金净额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保单红利支出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分保费用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6,820,413.53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5,746,767.23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64,187,800.75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55,172,216.93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57,110,114.66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76,373,838.66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13,380,134.69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14,282,350.88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-6,594,713.38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2,952,621.94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1,304,702.27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3,195,091.84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6,988,267.93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1,359,113.85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9,739,963.28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3,417,907.52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11,867,362.81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6,673,557.77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87,550.34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220,450.92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以摊余成本计量的金融资产终止确认收益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4,044,741.44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5,225,587.57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汇兑收益（损失以“</w:t>
            </w:r>
            <w:r>
              <w:rPr>
                <w:rFonts w:hint="eastAsia" w:ascii="宋体" w:hAnsi="宋体" w:eastAsia="宋体" w:cs="宋体"/>
                <w:sz w:val="18"/>
                <w:szCs w:val="18"/>
                <w:lang w:eastAsia="zh-CN"/>
              </w:rPr>
              <w:t>－</w:t>
            </w:r>
            <w:r>
              <w:rPr>
                <w:rFonts w:ascii="宋体" w:hAnsi="宋体" w:eastAsia="宋体" w:cs="宋体"/>
                <w:sz w:val="18"/>
                <w:szCs w:val="18"/>
              </w:rPr>
              <w:t>”号填列）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-10,309,368.50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2,067,390.00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信用减值损失（损失以“</w:t>
            </w:r>
            <w:r>
              <w:rPr>
                <w:rFonts w:hint="eastAsia" w:ascii="宋体" w:hAnsi="宋体" w:eastAsia="宋体" w:cs="宋体"/>
                <w:sz w:val="18"/>
                <w:szCs w:val="18"/>
                <w:lang w:eastAsia="zh-CN"/>
              </w:rPr>
              <w:t>－</w:t>
            </w:r>
            <w:r>
              <w:rPr>
                <w:rFonts w:ascii="宋体" w:hAnsi="宋体" w:eastAsia="宋体" w:cs="宋体"/>
                <w:sz w:val="18"/>
                <w:szCs w:val="18"/>
              </w:rPr>
              <w:t>”号填列）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-22,313,565.13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-1,450,456.41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资产减值损失（损失以“</w:t>
            </w:r>
            <w:r>
              <w:rPr>
                <w:rFonts w:hint="eastAsia" w:ascii="宋体" w:hAnsi="宋体" w:eastAsia="宋体" w:cs="宋体"/>
                <w:sz w:val="18"/>
                <w:szCs w:val="18"/>
                <w:lang w:eastAsia="zh-CN"/>
              </w:rPr>
              <w:t>－</w:t>
            </w:r>
            <w:r>
              <w:rPr>
                <w:rFonts w:ascii="宋体" w:hAnsi="宋体" w:eastAsia="宋体" w:cs="宋体"/>
                <w:sz w:val="18"/>
                <w:szCs w:val="18"/>
              </w:rPr>
              <w:t>”号填列）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236,448.83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209,535.95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资产处置收益（损失以“</w:t>
            </w:r>
            <w:r>
              <w:rPr>
                <w:rFonts w:hint="eastAsia" w:ascii="宋体" w:hAnsi="宋体" w:eastAsia="宋体" w:cs="宋体"/>
                <w:sz w:val="18"/>
                <w:szCs w:val="18"/>
                <w:lang w:eastAsia="zh-CN"/>
              </w:rPr>
              <w:t>－</w:t>
            </w:r>
            <w:r>
              <w:rPr>
                <w:rFonts w:ascii="宋体" w:hAnsi="宋体" w:eastAsia="宋体" w:cs="宋体"/>
                <w:sz w:val="18"/>
                <w:szCs w:val="18"/>
              </w:rPr>
              <w:t>”号填列）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-1,129,711.92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1,601.25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118,066,810.23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109,285,278.38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2,575,404.79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4,127,572.63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283,311.09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554,868.20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120,358,903.93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112,857,982.81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31,142,199.86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38,236,930.07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89,216,704.07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74,621,052.74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（一）按经营持续性分类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89,867,649.92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eastAsia" w:ascii="宋体" w:hAnsi="宋体" w:eastAsia="宋体" w:cs="宋体"/>
                <w:sz w:val="18"/>
                <w:szCs w:val="18"/>
              </w:rPr>
              <w:t>75,852,800.62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-650,945.85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w:t>
            </w:r>
            <w:r>
              <w:rPr>
                <w:rFonts w:hint="eastAsia" w:ascii="宋体" w:hAnsi="宋体" w:eastAsia="宋体" w:cs="宋体"/>
                <w:sz w:val="18"/>
                <w:szCs w:val="18"/>
                <w:lang w:val="en-US" w:eastAsia="zh-CN"/>
              </w:rPr>
              <w:t>31，747.88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（二）按所有权归属分类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1.归属于母公司所有者的净利润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88,547,928.30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74,532,065.50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2.少数股东损益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668,775.77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88,987.24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314,201.43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-1,526,246.91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归属母公司所有者的其他综合收益的税后净额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282,414.16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-1,290,483.86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282,414.16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-1,290,483.86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282,414.16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-1,290,483.86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归属于少数股东的其他综合收益的税后净额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31,787.27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-235,763.05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七、综合收益总额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89,530,905.50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73,094,805.83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归属于母公司所有者的综合收益总额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88,830,342.46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73,241,581.64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归属于少数股东的综合收益总额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700,563.04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-146,775.81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八、每股收益：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0.10</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本期发生同一控制下企业合并的，被合并方在合并前实现的净利润为：</w:t>
      </w:r>
      <w:r>
        <w:rPr>
          <w:rFonts w:hint="eastAsia" w:ascii="宋体" w:hAnsi="宋体" w:cs="宋体"/>
          <w:sz w:val="18"/>
          <w:szCs w:val="18"/>
          <w:lang w:val="en-US" w:eastAsia="zh-CN"/>
        </w:rPr>
        <w:t>0</w:t>
      </w:r>
      <w:r>
        <w:rPr>
          <w:rFonts w:ascii="宋体" w:hAnsi="宋体" w:eastAsia="宋体" w:cs="宋体"/>
          <w:sz w:val="18"/>
          <w:szCs w:val="18"/>
        </w:rPr>
        <w:t>元，上期被合并方实现的净利润为：</w:t>
      </w:r>
      <w:r>
        <w:rPr>
          <w:rFonts w:hint="eastAsia" w:ascii="宋体" w:hAnsi="宋体" w:cs="宋体"/>
          <w:sz w:val="18"/>
          <w:szCs w:val="18"/>
          <w:lang w:val="en-US" w:eastAsia="zh-CN"/>
        </w:rPr>
        <w:t>0</w:t>
      </w:r>
      <w:r>
        <w:rPr>
          <w:rFonts w:ascii="宋体" w:hAnsi="宋体" w:eastAsia="宋体" w:cs="宋体"/>
          <w:sz w:val="18"/>
          <w:szCs w:val="18"/>
        </w:rPr>
        <w:t>元。</w:t>
      </w:r>
    </w:p>
    <w:p>
      <w:pPr>
        <w:spacing w:before="0" w:after="0" w:line="240" w:lineRule="exact"/>
        <w:jc w:val="left"/>
        <w:rPr>
          <w:rFonts w:ascii="宋体" w:hAnsi="宋体" w:eastAsia="宋体" w:cs="宋体"/>
          <w:sz w:val="18"/>
          <w:szCs w:val="18"/>
        </w:rPr>
      </w:pPr>
      <w:r>
        <w:rPr>
          <w:rFonts w:ascii="宋体" w:hAnsi="宋体" w:eastAsia="宋体" w:cs="宋体"/>
          <w:sz w:val="18"/>
          <w:szCs w:val="18"/>
        </w:rPr>
        <w:t>法定代表人：丁鸿敏    主管会计工作负责人：陆利华    会计机构负责人：谢新</w:t>
      </w:r>
    </w:p>
    <w:p>
      <w:pPr>
        <w:keepNext/>
        <w:keepLines/>
        <w:spacing w:before="300" w:after="300" w:line="280" w:lineRule="exact"/>
        <w:jc w:val="left"/>
        <w:outlineLvl w:val="2"/>
        <w:rPr>
          <w:rFonts w:ascii="宋体" w:hAnsi="宋体" w:eastAsia="宋体" w:cs="宋体"/>
          <w:b/>
          <w:bCs/>
          <w:sz w:val="21"/>
          <w:szCs w:val="21"/>
        </w:rPr>
      </w:pPr>
      <w:bookmarkStart w:id="12" w:name="_Toc988901"/>
      <w:r>
        <w:rPr>
          <w:rFonts w:ascii="宋体" w:hAnsi="宋体" w:eastAsia="宋体" w:cs="宋体"/>
          <w:b/>
          <w:bCs/>
          <w:sz w:val="21"/>
          <w:szCs w:val="21"/>
        </w:rPr>
        <w:t>3、合并现金流量表</w:t>
      </w:r>
      <w:bookmarkEnd w:id="12"/>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1,446,149,369.14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1,319,585,479.06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客户存款和同业存放款项净增加额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向其他金融机构拆入资金净增加额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收到原保险合同保费取得的现金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收到再保业务现金净额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保户储金及投资款净增加额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收取利息、手续费及佣金的现金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回购业务资金净增加额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1,750,986.97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1,712,590.95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48,644,513.95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17,795,315.22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1,496,544,870.06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1,339,093,385.23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1,951,218,471.03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1,038,999,066.89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客户贷款及垫款净增加额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存放中央银行和同业款项净增加额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支付原保险合同赔付款项的现金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支付保单红利的现金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147,978,711.30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152,668,645.93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201,832,042.62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164,696,961.91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76,755,576.38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61,494,825.25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2,377,784,801.33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1,417,859,499.98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-881,239,931.27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-78,766,114.75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4,044,741.44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358,048.50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4,870,156.00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3,017,962.70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5,779,087.00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44,693,984.44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33,376,011.20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223,584,268.21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15,696,160.76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质押贷款净增加额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223,584,268.21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15,696,160.76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-178,890,283.77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17,679,850.44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462,628,568.63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其中：子公司吸收少数股东投资收到的现金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132,100.20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21,132,100.20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732,628,568.63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60,150,000.00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668,473.32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14,716,680.53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其中：子公司支付给少数股东的股利、利润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100,576,703.64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111,185,769.65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161,395,176.96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348,902,450.18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-140,263,076.76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383,726,118.45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1,242,991.00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-465,258.04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-1,199,150,300.80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322,174,596.10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2,206,595,210.10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654,690,269.87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1,007,444,909.30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976,864,865.97</w:t>
            </w:r>
          </w:p>
        </w:tc>
      </w:tr>
    </w:tbl>
    <w:p>
      <w:pPr>
        <w:keepNext/>
        <w:keepLines/>
        <w:spacing w:before="300" w:after="300" w:line="280" w:lineRule="exact"/>
        <w:jc w:val="left"/>
        <w:outlineLvl w:val="1"/>
        <w:rPr>
          <w:rFonts w:ascii="宋体" w:hAnsi="宋体" w:eastAsia="宋体" w:cs="宋体"/>
          <w:b/>
          <w:bCs/>
          <w:sz w:val="25"/>
          <w:szCs w:val="25"/>
        </w:rPr>
      </w:pPr>
      <w:bookmarkStart w:id="13" w:name="_Toc988902"/>
      <w:r>
        <w:rPr>
          <w:rFonts w:ascii="宋体" w:hAnsi="宋体" w:eastAsia="宋体" w:cs="宋体"/>
          <w:b/>
          <w:bCs/>
          <w:sz w:val="25"/>
          <w:szCs w:val="25"/>
        </w:rPr>
        <w:t>（二） 2024年起首次执行新会计准则调整首次执行当年年初财务报表相关项目情况</w:t>
      </w:r>
      <w:bookmarkEnd w:id="1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1"/>
        <w:rPr>
          <w:rFonts w:ascii="宋体" w:hAnsi="宋体" w:eastAsia="宋体" w:cs="宋体"/>
          <w:b/>
          <w:bCs/>
          <w:sz w:val="25"/>
          <w:szCs w:val="25"/>
        </w:rPr>
      </w:pPr>
      <w:bookmarkStart w:id="14" w:name="_Toc988903"/>
      <w:r>
        <w:rPr>
          <w:rFonts w:ascii="宋体" w:hAnsi="宋体" w:eastAsia="宋体" w:cs="宋体"/>
          <w:b/>
          <w:bCs/>
          <w:sz w:val="25"/>
          <w:szCs w:val="25"/>
        </w:rPr>
        <w:t>（三） 审计报告</w:t>
      </w:r>
      <w:bookmarkEnd w:id="14"/>
    </w:p>
    <w:p>
      <w:pPr>
        <w:spacing w:before="40" w:after="40" w:line="240" w:lineRule="exact"/>
        <w:jc w:val="left"/>
        <w:rPr>
          <w:rFonts w:ascii="宋体" w:hAnsi="宋体" w:eastAsia="宋体" w:cs="宋体"/>
          <w:sz w:val="18"/>
          <w:szCs w:val="18"/>
        </w:rPr>
      </w:pPr>
      <w:r>
        <w:rPr>
          <w:rFonts w:ascii="宋体" w:hAnsi="宋体" w:eastAsia="宋体" w:cs="宋体"/>
          <w:sz w:val="18"/>
          <w:szCs w:val="18"/>
        </w:rPr>
        <w:t>第一季度报告是否经过审计</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公司第一季度报告未经审计。</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德华兔宝宝装饰新材股份有限公司董事会</w:t>
      </w:r>
    </w:p>
    <w:p>
      <w:pPr>
        <w:spacing w:before="0" w:after="0" w:line="240" w:lineRule="exact"/>
        <w:jc w:val="right"/>
        <w:rPr>
          <w:rFonts w:ascii="宋体" w:hAnsi="宋体" w:eastAsia="宋体" w:cs="宋体"/>
          <w:sz w:val="18"/>
          <w:szCs w:val="18"/>
        </w:rPr>
      </w:pPr>
    </w:p>
    <w:sectPr>
      <w:headerReference r:id="rId3" w:type="default"/>
      <w:footerReference r:id="rId4" w:type="default"/>
      <w:pgSz w:w="11905" w:h="16840"/>
      <w:pgMar w:top="1440" w:right="1134" w:bottom="144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德华兔宝宝装饰新材股份有限公司2024年第一季度报告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compat>
    <w:doNotExpandShiftReturn/>
    <w:useFELayout/>
    <w:compatSetting w:name="compatibilityMode" w:uri="http://schemas.microsoft.com/office/word" w:val="14"/>
  </w:compat>
  <w:docVars>
    <w:docVar w:name="commondata" w:val="eyJoZGlkIjoiOWUwNjBhNGIxZjE5ZGM2MTY0MTM5ZTUwOWZmNzVlY2UifQ=="/>
  </w:docVars>
  <w:rsids>
    <w:rsidRoot w:val="00000000"/>
    <w:rsid w:val="0C9E18F3"/>
    <w:rsid w:val="1C063DEE"/>
    <w:rsid w:val="45EC6E22"/>
    <w:rsid w:val="46E13E10"/>
    <w:rsid w:val="4816754D"/>
    <w:rsid w:val="48BC4869"/>
    <w:rsid w:val="4E1E04FA"/>
    <w:rsid w:val="54732355"/>
    <w:rsid w:val="6EFD474A"/>
    <w:rsid w:val="6F4059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sz w:val="21"/>
      <w:szCs w:val="22"/>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TotalTime>2</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2024-04-20T06:37:00Z</dcterms:created>
  <dc:creator>admin</dc:creator>
  <cp:lastModifiedBy>沈煜</cp:lastModifiedBy>
  <dcterms:modified xsi:type="dcterms:W3CDTF">2024-04-24T06:37:28Z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4C4F2DC849154C2F8A1D8316AC84E4A7_12</vt:lpwstr>
  </property>
</Properties>
</file>