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before="200" w:line="480" w:lineRule="auto"/>
        <w:jc w:val="center"/>
        <w:textAlignment w:val="auto"/>
        <w:rPr>
          <w:rFonts w:ascii="宋体" w:hAnsi="宋体" w:eastAsia="宋体" w:cs="宋体"/>
          <w:sz w:val="24"/>
          <w:szCs w:val="24"/>
        </w:rPr>
      </w:pPr>
      <w:r>
        <w:rPr>
          <w:rFonts w:ascii="宋体" w:hAnsi="宋体" w:eastAsia="宋体" w:cs="宋体"/>
          <w:sz w:val="24"/>
          <w:szCs w:val="24"/>
        </w:rPr>
        <w:t xml:space="preserve">证券代码：002043     </w:t>
      </w:r>
      <w:r>
        <w:rPr>
          <w:rFonts w:hint="eastAsia" w:ascii="宋体" w:hAnsi="宋体" w:eastAsia="宋体" w:cs="宋体"/>
          <w:sz w:val="24"/>
          <w:szCs w:val="24"/>
          <w:lang w:val="en-US" w:eastAsia="zh-CN"/>
        </w:rPr>
        <w:t xml:space="preserve">  </w:t>
      </w:r>
      <w:r>
        <w:rPr>
          <w:rFonts w:ascii="宋体" w:hAnsi="宋体" w:eastAsia="宋体" w:cs="宋体"/>
          <w:sz w:val="24"/>
          <w:szCs w:val="24"/>
        </w:rPr>
        <w:t xml:space="preserve">   证券简称：兔 宝 宝            公告编号：2024-019</w:t>
      </w:r>
    </w:p>
    <w:p>
      <w:pPr>
        <w:keepNext w:val="0"/>
        <w:keepLines w:val="0"/>
        <w:pageBreakBefore w:val="0"/>
        <w:widowControl w:val="0"/>
        <w:kinsoku/>
        <w:wordWrap/>
        <w:overflowPunct/>
        <w:topLinePunct w:val="0"/>
        <w:autoSpaceDE/>
        <w:autoSpaceDN/>
        <w:bidi w:val="0"/>
        <w:adjustRightInd/>
        <w:snapToGrid/>
        <w:spacing w:before="0" w:line="480" w:lineRule="auto"/>
        <w:jc w:val="center"/>
        <w:textAlignment w:val="auto"/>
        <w:rPr>
          <w:rFonts w:ascii="宋体" w:hAnsi="宋体" w:eastAsia="宋体" w:cs="宋体"/>
          <w:b/>
          <w:bCs/>
          <w:sz w:val="36"/>
          <w:szCs w:val="36"/>
        </w:rPr>
      </w:pPr>
      <w:r>
        <w:rPr>
          <w:rFonts w:ascii="宋体" w:hAnsi="宋体" w:eastAsia="宋体" w:cs="宋体"/>
          <w:b/>
          <w:bCs/>
          <w:sz w:val="36"/>
          <w:szCs w:val="36"/>
        </w:rPr>
        <w:t>德华兔宝宝装饰新材股份有限公司</w:t>
      </w:r>
    </w:p>
    <w:p>
      <w:pPr>
        <w:keepNext w:val="0"/>
        <w:keepLines w:val="0"/>
        <w:pageBreakBefore w:val="0"/>
        <w:widowControl w:val="0"/>
        <w:kinsoku/>
        <w:wordWrap/>
        <w:overflowPunct/>
        <w:topLinePunct w:val="0"/>
        <w:autoSpaceDE/>
        <w:autoSpaceDN/>
        <w:bidi w:val="0"/>
        <w:adjustRightInd/>
        <w:snapToGrid/>
        <w:spacing w:before="0" w:line="480" w:lineRule="auto"/>
        <w:jc w:val="center"/>
        <w:textAlignment w:val="auto"/>
        <w:rPr>
          <w:rFonts w:ascii="宋体" w:hAnsi="宋体" w:eastAsia="宋体" w:cs="宋体"/>
          <w:b/>
          <w:bCs/>
          <w:sz w:val="36"/>
          <w:szCs w:val="36"/>
        </w:rPr>
      </w:pPr>
      <w:r>
        <w:rPr>
          <w:rFonts w:ascii="宋体" w:hAnsi="宋体" w:eastAsia="宋体" w:cs="宋体"/>
          <w:b/>
          <w:bCs/>
          <w:sz w:val="36"/>
          <w:szCs w:val="36"/>
        </w:rPr>
        <w:t>2023年年度报告摘要</w:t>
      </w:r>
    </w:p>
    <w:p>
      <w:pPr>
        <w:keepNext/>
        <w:keepLines/>
        <w:spacing w:before="300" w:after="300" w:line="320" w:lineRule="exact"/>
        <w:jc w:val="left"/>
        <w:outlineLvl w:val="1"/>
        <w:rPr>
          <w:rFonts w:ascii="宋体" w:hAnsi="宋体" w:eastAsia="宋体" w:cs="宋体"/>
          <w:b/>
          <w:bCs/>
          <w:sz w:val="24"/>
          <w:szCs w:val="24"/>
        </w:rPr>
      </w:pPr>
      <w:bookmarkStart w:id="0" w:name="_Toc988889"/>
      <w:r>
        <w:rPr>
          <w:rFonts w:ascii="宋体" w:hAnsi="宋体" w:eastAsia="宋体" w:cs="宋体"/>
          <w:b/>
          <w:bCs/>
          <w:sz w:val="24"/>
          <w:szCs w:val="24"/>
        </w:rPr>
        <w:t>一、重要提示</w:t>
      </w:r>
      <w:bookmarkEnd w:id="0"/>
    </w:p>
    <w:p>
      <w:pPr>
        <w:keepNext w:val="0"/>
        <w:keepLines w:val="0"/>
        <w:pageBreakBefore w:val="0"/>
        <w:widowControl w:val="0"/>
        <w:kinsoku/>
        <w:wordWrap/>
        <w:overflowPunct/>
        <w:topLinePunct w:val="0"/>
        <w:autoSpaceDE/>
        <w:autoSpaceDN/>
        <w:bidi w:val="0"/>
        <w:adjustRightInd/>
        <w:snapToGrid/>
        <w:spacing w:line="312" w:lineRule="auto"/>
        <w:jc w:val="left"/>
        <w:textAlignment w:val="auto"/>
        <w:rPr>
          <w:rFonts w:ascii="宋体" w:hAnsi="宋体" w:eastAsia="宋体" w:cs="宋体"/>
          <w:sz w:val="21"/>
          <w:szCs w:val="21"/>
        </w:rPr>
      </w:pPr>
      <w:r>
        <w:rPr>
          <w:rFonts w:ascii="宋体" w:hAnsi="宋体" w:eastAsia="宋体" w:cs="宋体"/>
          <w:sz w:val="21"/>
          <w:szCs w:val="21"/>
        </w:rPr>
        <w:t>本年度报告摘要来自年度报告全文，为全面了解本公司的经营成果、财务状况及未来发展规划，投资者应当到证监会指定媒体仔细阅读年度报告全文。</w:t>
      </w:r>
    </w:p>
    <w:p>
      <w:pPr>
        <w:keepNext w:val="0"/>
        <w:keepLines w:val="0"/>
        <w:pageBreakBefore w:val="0"/>
        <w:widowControl w:val="0"/>
        <w:kinsoku/>
        <w:wordWrap/>
        <w:overflowPunct/>
        <w:topLinePunct w:val="0"/>
        <w:autoSpaceDE/>
        <w:autoSpaceDN/>
        <w:bidi w:val="0"/>
        <w:adjustRightInd/>
        <w:snapToGrid/>
        <w:spacing w:line="312" w:lineRule="auto"/>
        <w:jc w:val="left"/>
        <w:textAlignment w:val="auto"/>
        <w:rPr>
          <w:rFonts w:ascii="宋体" w:hAnsi="宋体" w:eastAsia="宋体" w:cs="宋体"/>
          <w:sz w:val="21"/>
          <w:szCs w:val="21"/>
        </w:rPr>
      </w:pPr>
      <w:r>
        <w:rPr>
          <w:rFonts w:ascii="宋体" w:hAnsi="宋体" w:eastAsia="宋体" w:cs="宋体"/>
          <w:sz w:val="21"/>
          <w:szCs w:val="21"/>
        </w:rPr>
        <w:t>所有董事均已出席了审议本报告的董事会会议。</w:t>
      </w:r>
    </w:p>
    <w:p>
      <w:pPr>
        <w:keepNext w:val="0"/>
        <w:keepLines w:val="0"/>
        <w:pageBreakBefore w:val="0"/>
        <w:widowControl w:val="0"/>
        <w:kinsoku/>
        <w:wordWrap/>
        <w:overflowPunct/>
        <w:topLinePunct w:val="0"/>
        <w:autoSpaceDE/>
        <w:autoSpaceDN/>
        <w:bidi w:val="0"/>
        <w:adjustRightInd/>
        <w:snapToGrid/>
        <w:spacing w:line="312" w:lineRule="auto"/>
        <w:jc w:val="left"/>
        <w:textAlignment w:val="auto"/>
        <w:rPr>
          <w:rFonts w:ascii="宋体" w:hAnsi="宋体" w:eastAsia="宋体" w:cs="宋体"/>
          <w:sz w:val="21"/>
          <w:szCs w:val="21"/>
        </w:rPr>
      </w:pPr>
      <w:r>
        <w:rPr>
          <w:rFonts w:ascii="宋体" w:hAnsi="宋体" w:eastAsia="宋体" w:cs="宋体"/>
          <w:sz w:val="21"/>
          <w:szCs w:val="21"/>
        </w:rPr>
        <w:t>非标准审计意见提示</w:t>
      </w:r>
    </w:p>
    <w:p>
      <w:pPr>
        <w:keepNext w:val="0"/>
        <w:keepLines w:val="0"/>
        <w:pageBreakBefore w:val="0"/>
        <w:widowControl w:val="0"/>
        <w:kinsoku/>
        <w:wordWrap/>
        <w:overflowPunct/>
        <w:topLinePunct w:val="0"/>
        <w:autoSpaceDE/>
        <w:autoSpaceDN/>
        <w:bidi w:val="0"/>
        <w:adjustRightInd/>
        <w:snapToGrid/>
        <w:spacing w:line="312" w:lineRule="auto"/>
        <w:jc w:val="left"/>
        <w:textAlignment w:val="auto"/>
        <w:rPr>
          <w:rFonts w:ascii="宋体" w:hAnsi="宋体" w:eastAsia="宋体" w:cs="宋体"/>
          <w:sz w:val="21"/>
          <w:szCs w:val="21"/>
        </w:rPr>
      </w:pPr>
      <w:r>
        <w:rPr>
          <w:rFonts w:ascii="宋体" w:hAnsi="宋体" w:eastAsia="宋体" w:cs="宋体"/>
          <w:sz w:val="21"/>
          <w:szCs w:val="21"/>
        </w:rPr>
        <w:t xml:space="preserve">□适用 </w:t>
      </w:r>
      <w:r>
        <w:rPr>
          <w:rFonts w:ascii="宋体" w:hAnsi="宋体" w:eastAsia="宋体" w:cs="宋体"/>
          <w:sz w:val="21"/>
          <w:szCs w:val="21"/>
        </w:rPr>
        <w:sym w:font="Wingdings 2" w:char="F052"/>
      </w:r>
      <w:r>
        <w:rPr>
          <w:rFonts w:ascii="宋体" w:hAnsi="宋体" w:eastAsia="宋体" w:cs="宋体"/>
          <w:sz w:val="21"/>
          <w:szCs w:val="21"/>
        </w:rPr>
        <w:t>不适用</w:t>
      </w:r>
    </w:p>
    <w:p>
      <w:pPr>
        <w:keepNext w:val="0"/>
        <w:keepLines w:val="0"/>
        <w:pageBreakBefore w:val="0"/>
        <w:widowControl w:val="0"/>
        <w:kinsoku/>
        <w:wordWrap/>
        <w:overflowPunct/>
        <w:topLinePunct w:val="0"/>
        <w:autoSpaceDE/>
        <w:autoSpaceDN/>
        <w:bidi w:val="0"/>
        <w:adjustRightInd/>
        <w:snapToGrid/>
        <w:spacing w:line="312" w:lineRule="auto"/>
        <w:jc w:val="left"/>
        <w:textAlignment w:val="auto"/>
        <w:rPr>
          <w:rFonts w:ascii="宋体" w:hAnsi="宋体" w:eastAsia="宋体" w:cs="宋体"/>
          <w:sz w:val="21"/>
          <w:szCs w:val="21"/>
        </w:rPr>
      </w:pPr>
      <w:r>
        <w:rPr>
          <w:rFonts w:ascii="宋体" w:hAnsi="宋体" w:eastAsia="宋体" w:cs="宋体"/>
          <w:sz w:val="21"/>
          <w:szCs w:val="21"/>
        </w:rPr>
        <w:t>董事会审议的报告期利润分配预案或公积金转增股本预案</w:t>
      </w:r>
    </w:p>
    <w:p>
      <w:pPr>
        <w:keepNext w:val="0"/>
        <w:keepLines w:val="0"/>
        <w:pageBreakBefore w:val="0"/>
        <w:widowControl w:val="0"/>
        <w:kinsoku/>
        <w:wordWrap/>
        <w:overflowPunct/>
        <w:topLinePunct w:val="0"/>
        <w:autoSpaceDE/>
        <w:autoSpaceDN/>
        <w:bidi w:val="0"/>
        <w:adjustRightInd/>
        <w:snapToGrid/>
        <w:spacing w:line="312" w:lineRule="auto"/>
        <w:jc w:val="left"/>
        <w:textAlignment w:val="auto"/>
        <w:rPr>
          <w:rFonts w:ascii="宋体" w:hAnsi="宋体" w:eastAsia="宋体" w:cs="宋体"/>
          <w:sz w:val="21"/>
          <w:szCs w:val="21"/>
        </w:rPr>
      </w:pPr>
      <w:r>
        <w:rPr>
          <w:rFonts w:ascii="宋体" w:hAnsi="宋体" w:eastAsia="宋体" w:cs="宋体"/>
          <w:sz w:val="21"/>
          <w:szCs w:val="21"/>
        </w:rPr>
        <w:sym w:font="Wingdings 2" w:char="F052"/>
      </w:r>
      <w:r>
        <w:rPr>
          <w:rFonts w:ascii="宋体" w:hAnsi="宋体" w:eastAsia="宋体" w:cs="宋体"/>
          <w:sz w:val="21"/>
          <w:szCs w:val="21"/>
        </w:rPr>
        <w:t>适用 □不适用</w:t>
      </w:r>
    </w:p>
    <w:p>
      <w:pPr>
        <w:keepNext w:val="0"/>
        <w:keepLines w:val="0"/>
        <w:pageBreakBefore w:val="0"/>
        <w:widowControl w:val="0"/>
        <w:kinsoku/>
        <w:wordWrap/>
        <w:overflowPunct/>
        <w:topLinePunct w:val="0"/>
        <w:autoSpaceDE/>
        <w:autoSpaceDN/>
        <w:bidi w:val="0"/>
        <w:adjustRightInd/>
        <w:snapToGrid/>
        <w:spacing w:line="312" w:lineRule="auto"/>
        <w:jc w:val="left"/>
        <w:textAlignment w:val="auto"/>
        <w:rPr>
          <w:rFonts w:ascii="宋体" w:hAnsi="宋体" w:eastAsia="宋体" w:cs="宋体"/>
          <w:sz w:val="21"/>
          <w:szCs w:val="21"/>
        </w:rPr>
      </w:pPr>
      <w:r>
        <w:rPr>
          <w:rFonts w:ascii="宋体" w:hAnsi="宋体" w:eastAsia="宋体" w:cs="宋体"/>
          <w:sz w:val="21"/>
          <w:szCs w:val="21"/>
        </w:rPr>
        <w:t>是否以公积金转增股本</w:t>
      </w:r>
    </w:p>
    <w:p>
      <w:pPr>
        <w:keepNext w:val="0"/>
        <w:keepLines w:val="0"/>
        <w:pageBreakBefore w:val="0"/>
        <w:widowControl w:val="0"/>
        <w:kinsoku/>
        <w:wordWrap/>
        <w:overflowPunct/>
        <w:topLinePunct w:val="0"/>
        <w:autoSpaceDE/>
        <w:autoSpaceDN/>
        <w:bidi w:val="0"/>
        <w:adjustRightInd/>
        <w:snapToGrid/>
        <w:spacing w:line="312" w:lineRule="auto"/>
        <w:jc w:val="left"/>
        <w:textAlignment w:val="auto"/>
        <w:rPr>
          <w:rFonts w:ascii="宋体" w:hAnsi="宋体" w:eastAsia="宋体" w:cs="宋体"/>
          <w:sz w:val="21"/>
          <w:szCs w:val="21"/>
        </w:rPr>
      </w:pPr>
      <w:r>
        <w:rPr>
          <w:rFonts w:ascii="宋体" w:hAnsi="宋体" w:eastAsia="宋体" w:cs="宋体"/>
          <w:sz w:val="21"/>
          <w:szCs w:val="21"/>
        </w:rPr>
        <w:t xml:space="preserve">□是 </w:t>
      </w:r>
      <w:r>
        <w:rPr>
          <w:rFonts w:ascii="宋体" w:hAnsi="宋体" w:eastAsia="宋体" w:cs="宋体"/>
          <w:sz w:val="21"/>
          <w:szCs w:val="21"/>
        </w:rPr>
        <w:sym w:font="Wingdings 2" w:char="F052"/>
      </w:r>
      <w:r>
        <w:rPr>
          <w:rFonts w:ascii="宋体" w:hAnsi="宋体" w:eastAsia="宋体" w:cs="宋体"/>
          <w:sz w:val="21"/>
          <w:szCs w:val="21"/>
        </w:rPr>
        <w:t>否</w:t>
      </w:r>
    </w:p>
    <w:p>
      <w:pPr>
        <w:keepNext w:val="0"/>
        <w:keepLines w:val="0"/>
        <w:pageBreakBefore w:val="0"/>
        <w:widowControl w:val="0"/>
        <w:kinsoku/>
        <w:wordWrap/>
        <w:overflowPunct/>
        <w:topLinePunct w:val="0"/>
        <w:autoSpaceDE/>
        <w:autoSpaceDN/>
        <w:bidi w:val="0"/>
        <w:adjustRightInd/>
        <w:snapToGrid/>
        <w:spacing w:line="312" w:lineRule="auto"/>
        <w:jc w:val="left"/>
        <w:textAlignment w:val="auto"/>
        <w:rPr>
          <w:rFonts w:ascii="宋体" w:hAnsi="宋体" w:eastAsia="宋体" w:cs="宋体"/>
          <w:sz w:val="21"/>
          <w:szCs w:val="21"/>
        </w:rPr>
      </w:pPr>
      <w:r>
        <w:rPr>
          <w:rFonts w:ascii="宋体" w:hAnsi="宋体" w:eastAsia="宋体" w:cs="宋体"/>
          <w:sz w:val="21"/>
          <w:szCs w:val="21"/>
        </w:rPr>
        <w:t>公司经本次董事会审议通过的利润分配预案为：以828</w:t>
      </w:r>
      <w:r>
        <w:rPr>
          <w:rFonts w:hint="eastAsia" w:ascii="宋体" w:hAnsi="宋体" w:eastAsia="宋体" w:cs="宋体"/>
          <w:sz w:val="21"/>
          <w:szCs w:val="21"/>
          <w:lang w:val="en-US" w:eastAsia="zh-CN"/>
        </w:rPr>
        <w:t>,</w:t>
      </w:r>
      <w:r>
        <w:rPr>
          <w:rFonts w:ascii="宋体" w:hAnsi="宋体" w:eastAsia="宋体" w:cs="宋体"/>
          <w:sz w:val="21"/>
          <w:szCs w:val="21"/>
        </w:rPr>
        <w:t>513</w:t>
      </w:r>
      <w:r>
        <w:rPr>
          <w:rFonts w:hint="eastAsia" w:ascii="宋体" w:hAnsi="宋体" w:eastAsia="宋体" w:cs="宋体"/>
          <w:sz w:val="21"/>
          <w:szCs w:val="21"/>
          <w:lang w:val="en-US" w:eastAsia="zh-CN"/>
        </w:rPr>
        <w:t>,</w:t>
      </w:r>
      <w:r>
        <w:rPr>
          <w:rFonts w:ascii="宋体" w:hAnsi="宋体" w:eastAsia="宋体" w:cs="宋体"/>
          <w:sz w:val="21"/>
          <w:szCs w:val="21"/>
        </w:rPr>
        <w:t>011为基数，向全体股东每10股派发现金红利5.5元（含税），送红股0股（含税），不以公积金转增股本。</w:t>
      </w:r>
    </w:p>
    <w:p>
      <w:pPr>
        <w:keepNext w:val="0"/>
        <w:keepLines w:val="0"/>
        <w:pageBreakBefore w:val="0"/>
        <w:widowControl w:val="0"/>
        <w:kinsoku/>
        <w:wordWrap/>
        <w:overflowPunct/>
        <w:topLinePunct w:val="0"/>
        <w:autoSpaceDE/>
        <w:autoSpaceDN/>
        <w:bidi w:val="0"/>
        <w:adjustRightInd/>
        <w:snapToGrid/>
        <w:spacing w:line="312" w:lineRule="auto"/>
        <w:jc w:val="left"/>
        <w:textAlignment w:val="auto"/>
        <w:rPr>
          <w:rFonts w:ascii="宋体" w:hAnsi="宋体" w:eastAsia="宋体" w:cs="宋体"/>
          <w:sz w:val="21"/>
          <w:szCs w:val="21"/>
        </w:rPr>
      </w:pPr>
      <w:r>
        <w:rPr>
          <w:rFonts w:ascii="宋体" w:hAnsi="宋体" w:eastAsia="宋体" w:cs="宋体"/>
          <w:sz w:val="21"/>
          <w:szCs w:val="21"/>
        </w:rPr>
        <w:t>董事会决议通过的本报告期优先股利润分配预案</w:t>
      </w:r>
    </w:p>
    <w:p>
      <w:pPr>
        <w:keepNext w:val="0"/>
        <w:keepLines w:val="0"/>
        <w:pageBreakBefore w:val="0"/>
        <w:widowControl w:val="0"/>
        <w:kinsoku/>
        <w:wordWrap/>
        <w:overflowPunct/>
        <w:topLinePunct w:val="0"/>
        <w:autoSpaceDE/>
        <w:autoSpaceDN/>
        <w:bidi w:val="0"/>
        <w:adjustRightInd/>
        <w:snapToGrid/>
        <w:spacing w:line="312" w:lineRule="auto"/>
        <w:jc w:val="left"/>
        <w:textAlignment w:val="auto"/>
        <w:rPr>
          <w:rFonts w:ascii="宋体" w:hAnsi="宋体" w:eastAsia="宋体" w:cs="宋体"/>
          <w:sz w:val="21"/>
          <w:szCs w:val="21"/>
        </w:rPr>
      </w:pPr>
      <w:r>
        <w:rPr>
          <w:rFonts w:ascii="宋体" w:hAnsi="宋体" w:eastAsia="宋体" w:cs="宋体"/>
          <w:sz w:val="21"/>
          <w:szCs w:val="21"/>
        </w:rPr>
        <w:t xml:space="preserve">□适用 </w:t>
      </w:r>
      <w:r>
        <w:rPr>
          <w:rFonts w:hint="eastAsia" w:ascii="宋体" w:hAnsi="宋体" w:cs="宋体"/>
          <w:sz w:val="21"/>
          <w:szCs w:val="21"/>
          <w:lang w:eastAsia="zh-CN"/>
        </w:rPr>
        <w:t>☑</w:t>
      </w:r>
      <w:r>
        <w:rPr>
          <w:rFonts w:ascii="宋体" w:hAnsi="宋体" w:eastAsia="宋体" w:cs="宋体"/>
          <w:sz w:val="21"/>
          <w:szCs w:val="21"/>
        </w:rPr>
        <w:t>不适用</w:t>
      </w:r>
    </w:p>
    <w:p>
      <w:pPr>
        <w:keepNext/>
        <w:keepLines/>
        <w:spacing w:before="300" w:after="300" w:line="320" w:lineRule="exact"/>
        <w:jc w:val="left"/>
        <w:outlineLvl w:val="1"/>
        <w:rPr>
          <w:rFonts w:ascii="宋体" w:hAnsi="宋体" w:eastAsia="宋体" w:cs="宋体"/>
          <w:b/>
          <w:bCs/>
          <w:sz w:val="24"/>
          <w:szCs w:val="24"/>
        </w:rPr>
      </w:pPr>
      <w:bookmarkStart w:id="1" w:name="_Toc988890"/>
      <w:r>
        <w:rPr>
          <w:rFonts w:ascii="宋体" w:hAnsi="宋体" w:eastAsia="宋体" w:cs="宋体"/>
          <w:b/>
          <w:bCs/>
          <w:sz w:val="24"/>
          <w:szCs w:val="24"/>
        </w:rPr>
        <w:t>二、公司基本情况</w:t>
      </w:r>
      <w:bookmarkEnd w:id="1"/>
    </w:p>
    <w:p>
      <w:pPr>
        <w:keepNext/>
        <w:keepLines/>
        <w:spacing w:before="300" w:after="300" w:line="280" w:lineRule="exact"/>
        <w:jc w:val="left"/>
        <w:outlineLvl w:val="2"/>
        <w:rPr>
          <w:rFonts w:ascii="宋体" w:hAnsi="宋体" w:eastAsia="宋体" w:cs="宋体"/>
          <w:b/>
          <w:bCs/>
          <w:sz w:val="21"/>
          <w:szCs w:val="21"/>
        </w:rPr>
      </w:pPr>
      <w:bookmarkStart w:id="2" w:name="_Toc988891"/>
      <w:r>
        <w:rPr>
          <w:rFonts w:ascii="宋体" w:hAnsi="宋体" w:eastAsia="宋体" w:cs="宋体"/>
          <w:b/>
          <w:bCs/>
          <w:sz w:val="21"/>
          <w:szCs w:val="21"/>
        </w:rPr>
        <w:t>1、公司简介</w:t>
      </w:r>
      <w:bookmarkEnd w:id="2"/>
    </w:p>
    <w:tbl>
      <w:tblPr>
        <w:tblStyle w:val="3"/>
        <w:tblW w:w="9639" w:type="dxa"/>
        <w:tblInd w:w="0" w:type="dxa"/>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fixed"/>
        <w:tblCellMar>
          <w:top w:w="0" w:type="dxa"/>
          <w:left w:w="108" w:type="dxa"/>
          <w:bottom w:w="0" w:type="dxa"/>
          <w:right w:w="108" w:type="dxa"/>
        </w:tblCellMar>
      </w:tblPr>
      <w:tblGrid>
        <w:gridCol w:w="5200"/>
        <w:gridCol w:w="1480"/>
        <w:gridCol w:w="740"/>
        <w:gridCol w:w="740"/>
        <w:gridCol w:w="1480"/>
      </w:tblGrid>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40" w:hRule="atLeast"/>
        </w:trPr>
        <w:tc>
          <w:tcPr>
            <w:tcW w:w="5200" w:type="dxa"/>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left"/>
              <w:rPr>
                <w:rFonts w:ascii="宋体" w:hAnsi="宋体" w:eastAsia="宋体" w:cs="宋体"/>
                <w:sz w:val="18"/>
                <w:szCs w:val="18"/>
              </w:rPr>
            </w:pPr>
            <w:r>
              <w:rPr>
                <w:rFonts w:ascii="宋体" w:hAnsi="宋体" w:eastAsia="宋体" w:cs="宋体"/>
                <w:sz w:val="18"/>
                <w:szCs w:val="18"/>
              </w:rPr>
              <w:t>股票简称</w:t>
            </w:r>
          </w:p>
        </w:tc>
        <w:tc>
          <w:tcPr>
            <w:tcW w:w="1480"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left"/>
              <w:rPr>
                <w:rFonts w:ascii="宋体" w:hAnsi="宋体" w:eastAsia="宋体" w:cs="宋体"/>
                <w:sz w:val="18"/>
                <w:szCs w:val="18"/>
              </w:rPr>
            </w:pPr>
            <w:r>
              <w:rPr>
                <w:rFonts w:ascii="宋体" w:hAnsi="宋体" w:eastAsia="宋体" w:cs="宋体"/>
                <w:sz w:val="18"/>
                <w:szCs w:val="18"/>
              </w:rPr>
              <w:t>兔宝宝</w:t>
            </w:r>
          </w:p>
        </w:tc>
        <w:tc>
          <w:tcPr>
            <w:tcW w:w="1480" w:type="dxa"/>
            <w:gridSpan w:val="2"/>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left"/>
              <w:rPr>
                <w:rFonts w:ascii="宋体" w:hAnsi="宋体" w:eastAsia="宋体" w:cs="宋体"/>
                <w:sz w:val="18"/>
                <w:szCs w:val="18"/>
              </w:rPr>
            </w:pPr>
            <w:r>
              <w:rPr>
                <w:rFonts w:ascii="宋体" w:hAnsi="宋体" w:eastAsia="宋体" w:cs="宋体"/>
                <w:sz w:val="18"/>
                <w:szCs w:val="18"/>
              </w:rPr>
              <w:t>股票代码</w:t>
            </w:r>
          </w:p>
        </w:tc>
        <w:tc>
          <w:tcPr>
            <w:tcW w:w="1480"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left"/>
              <w:rPr>
                <w:rFonts w:ascii="宋体" w:hAnsi="宋体" w:eastAsia="宋体" w:cs="宋体"/>
                <w:sz w:val="18"/>
                <w:szCs w:val="18"/>
              </w:rPr>
            </w:pPr>
            <w:r>
              <w:rPr>
                <w:rFonts w:ascii="宋体" w:hAnsi="宋体" w:eastAsia="宋体" w:cs="宋体"/>
                <w:sz w:val="18"/>
                <w:szCs w:val="18"/>
              </w:rPr>
              <w:t>002043</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40" w:hRule="atLeast"/>
        </w:trPr>
        <w:tc>
          <w:tcPr>
            <w:tcW w:w="5200" w:type="dxa"/>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left"/>
              <w:rPr>
                <w:rFonts w:ascii="宋体" w:hAnsi="宋体" w:eastAsia="宋体" w:cs="宋体"/>
                <w:sz w:val="18"/>
                <w:szCs w:val="18"/>
              </w:rPr>
            </w:pPr>
            <w:r>
              <w:rPr>
                <w:rFonts w:ascii="宋体" w:hAnsi="宋体" w:eastAsia="宋体" w:cs="宋体"/>
                <w:sz w:val="18"/>
                <w:szCs w:val="18"/>
              </w:rPr>
              <w:t>股票上市交易所</w:t>
            </w:r>
          </w:p>
        </w:tc>
        <w:tc>
          <w:tcPr>
            <w:tcW w:w="4439" w:type="dxa"/>
            <w:gridSpan w:val="4"/>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left"/>
              <w:rPr>
                <w:rFonts w:ascii="宋体" w:hAnsi="宋体" w:eastAsia="宋体" w:cs="宋体"/>
                <w:sz w:val="18"/>
                <w:szCs w:val="18"/>
              </w:rPr>
            </w:pPr>
            <w:r>
              <w:rPr>
                <w:rFonts w:ascii="宋体" w:hAnsi="宋体" w:eastAsia="宋体" w:cs="宋体"/>
                <w:sz w:val="18"/>
                <w:szCs w:val="18"/>
              </w:rPr>
              <w:t>深圳证券交易所</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40" w:hRule="atLeast"/>
        </w:trPr>
        <w:tc>
          <w:tcPr>
            <w:tcW w:w="5200" w:type="dxa"/>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center"/>
              <w:rPr>
                <w:rFonts w:ascii="宋体" w:hAnsi="宋体" w:eastAsia="宋体" w:cs="宋体"/>
                <w:sz w:val="18"/>
                <w:szCs w:val="18"/>
              </w:rPr>
            </w:pPr>
            <w:r>
              <w:rPr>
                <w:rFonts w:ascii="宋体" w:hAnsi="宋体" w:eastAsia="宋体" w:cs="宋体"/>
                <w:sz w:val="18"/>
                <w:szCs w:val="18"/>
              </w:rPr>
              <w:t>联系人和联系方式</w:t>
            </w:r>
          </w:p>
        </w:tc>
        <w:tc>
          <w:tcPr>
            <w:tcW w:w="2220" w:type="dxa"/>
            <w:gridSpan w:val="2"/>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center"/>
              <w:rPr>
                <w:rFonts w:ascii="宋体" w:hAnsi="宋体" w:eastAsia="宋体" w:cs="宋体"/>
                <w:sz w:val="18"/>
                <w:szCs w:val="18"/>
              </w:rPr>
            </w:pPr>
            <w:r>
              <w:rPr>
                <w:rFonts w:ascii="宋体" w:hAnsi="宋体" w:eastAsia="宋体" w:cs="宋体"/>
                <w:sz w:val="18"/>
                <w:szCs w:val="18"/>
              </w:rPr>
              <w:t>董事会秘书</w:t>
            </w:r>
          </w:p>
        </w:tc>
        <w:tc>
          <w:tcPr>
            <w:tcW w:w="2220" w:type="dxa"/>
            <w:gridSpan w:val="2"/>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center"/>
              <w:rPr>
                <w:rFonts w:ascii="宋体" w:hAnsi="宋体" w:eastAsia="宋体" w:cs="宋体"/>
                <w:sz w:val="18"/>
                <w:szCs w:val="18"/>
              </w:rPr>
            </w:pPr>
            <w:r>
              <w:rPr>
                <w:rFonts w:ascii="宋体" w:hAnsi="宋体" w:eastAsia="宋体" w:cs="宋体"/>
                <w:sz w:val="18"/>
                <w:szCs w:val="18"/>
              </w:rPr>
              <w:t>证券事务代表</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40" w:hRule="atLeast"/>
        </w:trPr>
        <w:tc>
          <w:tcPr>
            <w:tcW w:w="5200" w:type="dxa"/>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left"/>
              <w:rPr>
                <w:rFonts w:ascii="宋体" w:hAnsi="宋体" w:eastAsia="宋体" w:cs="宋体"/>
                <w:sz w:val="18"/>
                <w:szCs w:val="18"/>
              </w:rPr>
            </w:pPr>
            <w:r>
              <w:rPr>
                <w:rFonts w:ascii="宋体" w:hAnsi="宋体" w:eastAsia="宋体" w:cs="宋体"/>
                <w:sz w:val="18"/>
                <w:szCs w:val="18"/>
              </w:rPr>
              <w:t>姓名</w:t>
            </w:r>
          </w:p>
        </w:tc>
        <w:tc>
          <w:tcPr>
            <w:tcW w:w="2220" w:type="dxa"/>
            <w:gridSpan w:val="2"/>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left"/>
              <w:rPr>
                <w:rFonts w:ascii="宋体" w:hAnsi="宋体" w:eastAsia="宋体" w:cs="宋体"/>
                <w:sz w:val="18"/>
                <w:szCs w:val="18"/>
              </w:rPr>
            </w:pPr>
            <w:r>
              <w:rPr>
                <w:rFonts w:ascii="宋体" w:hAnsi="宋体" w:eastAsia="宋体" w:cs="宋体"/>
                <w:sz w:val="18"/>
                <w:szCs w:val="18"/>
              </w:rPr>
              <w:t>丁涛</w:t>
            </w:r>
          </w:p>
        </w:tc>
        <w:tc>
          <w:tcPr>
            <w:tcW w:w="2220" w:type="dxa"/>
            <w:gridSpan w:val="2"/>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left"/>
              <w:rPr>
                <w:rFonts w:ascii="宋体" w:hAnsi="宋体" w:eastAsia="宋体" w:cs="宋体"/>
                <w:sz w:val="18"/>
                <w:szCs w:val="18"/>
              </w:rPr>
            </w:pPr>
            <w:r>
              <w:rPr>
                <w:rFonts w:ascii="宋体" w:hAnsi="宋体" w:eastAsia="宋体" w:cs="宋体"/>
                <w:sz w:val="18"/>
                <w:szCs w:val="18"/>
              </w:rPr>
              <w:t>沈煜燕</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40" w:hRule="atLeast"/>
        </w:trPr>
        <w:tc>
          <w:tcPr>
            <w:tcW w:w="5200" w:type="dxa"/>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left"/>
              <w:rPr>
                <w:rFonts w:ascii="宋体" w:hAnsi="宋体" w:eastAsia="宋体" w:cs="宋体"/>
                <w:sz w:val="18"/>
                <w:szCs w:val="18"/>
              </w:rPr>
            </w:pPr>
            <w:r>
              <w:rPr>
                <w:rFonts w:ascii="宋体" w:hAnsi="宋体" w:eastAsia="宋体" w:cs="宋体"/>
                <w:sz w:val="18"/>
                <w:szCs w:val="18"/>
              </w:rPr>
              <w:t>办公地址</w:t>
            </w:r>
          </w:p>
        </w:tc>
        <w:tc>
          <w:tcPr>
            <w:tcW w:w="2220" w:type="dxa"/>
            <w:gridSpan w:val="2"/>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left"/>
              <w:rPr>
                <w:rFonts w:ascii="宋体" w:hAnsi="宋体" w:eastAsia="宋体" w:cs="宋体"/>
                <w:sz w:val="18"/>
                <w:szCs w:val="18"/>
              </w:rPr>
            </w:pPr>
            <w:r>
              <w:rPr>
                <w:rFonts w:ascii="宋体" w:hAnsi="宋体" w:eastAsia="宋体" w:cs="宋体"/>
                <w:sz w:val="18"/>
                <w:szCs w:val="18"/>
              </w:rPr>
              <w:t>浙江省德清县阜溪街道临溪街588号</w:t>
            </w:r>
          </w:p>
        </w:tc>
        <w:tc>
          <w:tcPr>
            <w:tcW w:w="2220" w:type="dxa"/>
            <w:gridSpan w:val="2"/>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left"/>
              <w:rPr>
                <w:rFonts w:ascii="宋体" w:hAnsi="宋体" w:eastAsia="宋体" w:cs="宋体"/>
                <w:sz w:val="18"/>
                <w:szCs w:val="18"/>
              </w:rPr>
            </w:pPr>
            <w:r>
              <w:rPr>
                <w:rFonts w:ascii="宋体" w:hAnsi="宋体" w:eastAsia="宋体" w:cs="宋体"/>
                <w:sz w:val="18"/>
                <w:szCs w:val="18"/>
              </w:rPr>
              <w:t>浙江省德清县阜溪街道临溪街588号</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40" w:hRule="atLeast"/>
        </w:trPr>
        <w:tc>
          <w:tcPr>
            <w:tcW w:w="5200" w:type="dxa"/>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left"/>
              <w:rPr>
                <w:rFonts w:ascii="宋体" w:hAnsi="宋体" w:eastAsia="宋体" w:cs="宋体"/>
                <w:sz w:val="18"/>
                <w:szCs w:val="18"/>
              </w:rPr>
            </w:pPr>
            <w:r>
              <w:rPr>
                <w:rFonts w:ascii="宋体" w:hAnsi="宋体" w:eastAsia="宋体" w:cs="宋体"/>
                <w:sz w:val="18"/>
                <w:szCs w:val="18"/>
              </w:rPr>
              <w:t>传真</w:t>
            </w:r>
          </w:p>
        </w:tc>
        <w:tc>
          <w:tcPr>
            <w:tcW w:w="2220" w:type="dxa"/>
            <w:gridSpan w:val="2"/>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left"/>
              <w:rPr>
                <w:rFonts w:ascii="宋体" w:hAnsi="宋体" w:eastAsia="宋体" w:cs="宋体"/>
                <w:sz w:val="18"/>
                <w:szCs w:val="18"/>
              </w:rPr>
            </w:pPr>
            <w:r>
              <w:rPr>
                <w:rFonts w:ascii="宋体" w:hAnsi="宋体" w:eastAsia="宋体" w:cs="宋体"/>
                <w:sz w:val="18"/>
                <w:szCs w:val="18"/>
              </w:rPr>
              <w:t>0572-8822225</w:t>
            </w:r>
          </w:p>
        </w:tc>
        <w:tc>
          <w:tcPr>
            <w:tcW w:w="2220" w:type="dxa"/>
            <w:gridSpan w:val="2"/>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left"/>
              <w:rPr>
                <w:rFonts w:ascii="宋体" w:hAnsi="宋体" w:eastAsia="宋体" w:cs="宋体"/>
                <w:sz w:val="18"/>
                <w:szCs w:val="18"/>
              </w:rPr>
            </w:pPr>
            <w:r>
              <w:rPr>
                <w:rFonts w:ascii="宋体" w:hAnsi="宋体" w:eastAsia="宋体" w:cs="宋体"/>
                <w:sz w:val="18"/>
                <w:szCs w:val="18"/>
              </w:rPr>
              <w:t>0572-8822225</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40" w:hRule="atLeast"/>
        </w:trPr>
        <w:tc>
          <w:tcPr>
            <w:tcW w:w="5200" w:type="dxa"/>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left"/>
              <w:rPr>
                <w:rFonts w:ascii="宋体" w:hAnsi="宋体" w:eastAsia="宋体" w:cs="宋体"/>
                <w:sz w:val="18"/>
                <w:szCs w:val="18"/>
              </w:rPr>
            </w:pPr>
            <w:r>
              <w:rPr>
                <w:rFonts w:ascii="宋体" w:hAnsi="宋体" w:eastAsia="宋体" w:cs="宋体"/>
                <w:sz w:val="18"/>
                <w:szCs w:val="18"/>
              </w:rPr>
              <w:t>电话</w:t>
            </w:r>
          </w:p>
        </w:tc>
        <w:tc>
          <w:tcPr>
            <w:tcW w:w="2220" w:type="dxa"/>
            <w:gridSpan w:val="2"/>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left"/>
              <w:rPr>
                <w:rFonts w:ascii="宋体" w:hAnsi="宋体" w:eastAsia="宋体" w:cs="宋体"/>
                <w:sz w:val="18"/>
                <w:szCs w:val="18"/>
              </w:rPr>
            </w:pPr>
            <w:r>
              <w:rPr>
                <w:rFonts w:ascii="宋体" w:hAnsi="宋体" w:eastAsia="宋体" w:cs="宋体"/>
                <w:sz w:val="18"/>
                <w:szCs w:val="18"/>
              </w:rPr>
              <w:t>0572-8405635</w:t>
            </w:r>
          </w:p>
        </w:tc>
        <w:tc>
          <w:tcPr>
            <w:tcW w:w="2220" w:type="dxa"/>
            <w:gridSpan w:val="2"/>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left"/>
              <w:rPr>
                <w:rFonts w:ascii="宋体" w:hAnsi="宋体" w:eastAsia="宋体" w:cs="宋体"/>
                <w:sz w:val="18"/>
                <w:szCs w:val="18"/>
              </w:rPr>
            </w:pPr>
            <w:r>
              <w:rPr>
                <w:rFonts w:ascii="宋体" w:hAnsi="宋体" w:eastAsia="宋体" w:cs="宋体"/>
                <w:sz w:val="18"/>
                <w:szCs w:val="18"/>
              </w:rPr>
              <w:t>0572-8405635</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40" w:hRule="atLeast"/>
        </w:trPr>
        <w:tc>
          <w:tcPr>
            <w:tcW w:w="5200" w:type="dxa"/>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left"/>
              <w:rPr>
                <w:rFonts w:ascii="宋体" w:hAnsi="宋体" w:eastAsia="宋体" w:cs="宋体"/>
                <w:sz w:val="18"/>
                <w:szCs w:val="18"/>
              </w:rPr>
            </w:pPr>
            <w:r>
              <w:rPr>
                <w:rFonts w:ascii="宋体" w:hAnsi="宋体" w:eastAsia="宋体" w:cs="宋体"/>
                <w:sz w:val="18"/>
                <w:szCs w:val="18"/>
              </w:rPr>
              <w:t>电子信箱</w:t>
            </w:r>
          </w:p>
        </w:tc>
        <w:tc>
          <w:tcPr>
            <w:tcW w:w="2220" w:type="dxa"/>
            <w:gridSpan w:val="2"/>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left"/>
              <w:rPr>
                <w:rFonts w:ascii="宋体" w:hAnsi="宋体" w:eastAsia="宋体" w:cs="宋体"/>
                <w:sz w:val="18"/>
                <w:szCs w:val="18"/>
              </w:rPr>
            </w:pPr>
            <w:r>
              <w:rPr>
                <w:rFonts w:ascii="宋体" w:hAnsi="宋体" w:eastAsia="宋体" w:cs="宋体"/>
                <w:sz w:val="18"/>
                <w:szCs w:val="18"/>
              </w:rPr>
              <w:t>dingtao@dhwooden.com</w:t>
            </w:r>
          </w:p>
        </w:tc>
        <w:tc>
          <w:tcPr>
            <w:tcW w:w="2220" w:type="dxa"/>
            <w:gridSpan w:val="2"/>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left"/>
              <w:rPr>
                <w:rFonts w:ascii="宋体" w:hAnsi="宋体" w:eastAsia="宋体" w:cs="宋体"/>
                <w:sz w:val="18"/>
                <w:szCs w:val="18"/>
              </w:rPr>
            </w:pPr>
            <w:r>
              <w:rPr>
                <w:rFonts w:ascii="宋体" w:hAnsi="宋体" w:eastAsia="宋体" w:cs="宋体"/>
                <w:sz w:val="18"/>
                <w:szCs w:val="18"/>
              </w:rPr>
              <w:t>syy@dhwooden.com</w:t>
            </w:r>
          </w:p>
        </w:tc>
      </w:tr>
    </w:tbl>
    <w:p>
      <w:pPr>
        <w:keepNext/>
        <w:keepLines/>
        <w:spacing w:before="300" w:after="300" w:line="280" w:lineRule="exact"/>
        <w:jc w:val="left"/>
        <w:outlineLvl w:val="2"/>
        <w:rPr>
          <w:rFonts w:ascii="宋体" w:hAnsi="宋体" w:eastAsia="宋体" w:cs="宋体"/>
          <w:b/>
          <w:bCs/>
          <w:sz w:val="21"/>
          <w:szCs w:val="21"/>
        </w:rPr>
      </w:pPr>
      <w:bookmarkStart w:id="3" w:name="_Toc988892"/>
      <w:r>
        <w:rPr>
          <w:rFonts w:ascii="宋体" w:hAnsi="宋体" w:eastAsia="宋体" w:cs="宋体"/>
          <w:b/>
          <w:bCs/>
          <w:sz w:val="21"/>
          <w:szCs w:val="21"/>
        </w:rPr>
        <w:t>2、报告期主要业务或产品简介</w:t>
      </w:r>
      <w:bookmarkEnd w:id="3"/>
    </w:p>
    <w:p>
      <w:pPr>
        <w:keepNext w:val="0"/>
        <w:keepLines w:val="0"/>
        <w:pageBreakBefore w:val="0"/>
        <w:widowControl w:val="0"/>
        <w:kinsoku/>
        <w:wordWrap/>
        <w:overflowPunct/>
        <w:topLinePunct w:val="0"/>
        <w:autoSpaceDE/>
        <w:autoSpaceDN/>
        <w:bidi w:val="0"/>
        <w:adjustRightInd/>
        <w:snapToGrid/>
        <w:spacing w:before="0" w:after="0" w:line="312" w:lineRule="auto"/>
        <w:ind w:left="0" w:right="0" w:firstLine="420" w:firstLineChars="200"/>
        <w:jc w:val="left"/>
        <w:textAlignment w:val="auto"/>
        <w:rPr>
          <w:sz w:val="21"/>
          <w:szCs w:val="21"/>
        </w:rPr>
      </w:pPr>
      <w:r>
        <w:rPr>
          <w:rFonts w:ascii="宋体" w:hAnsi="宋体"/>
          <w:sz w:val="21"/>
          <w:szCs w:val="21"/>
        </w:rPr>
        <w:t>（1）公司从事的主要业务</w:t>
      </w:r>
    </w:p>
    <w:p>
      <w:pPr>
        <w:keepNext w:val="0"/>
        <w:keepLines w:val="0"/>
        <w:pageBreakBefore w:val="0"/>
        <w:widowControl w:val="0"/>
        <w:kinsoku/>
        <w:wordWrap/>
        <w:overflowPunct/>
        <w:topLinePunct w:val="0"/>
        <w:autoSpaceDE/>
        <w:autoSpaceDN/>
        <w:bidi w:val="0"/>
        <w:adjustRightInd/>
        <w:snapToGrid/>
        <w:spacing w:before="0" w:after="0" w:line="312" w:lineRule="auto"/>
        <w:ind w:left="0" w:right="0" w:firstLine="420" w:firstLineChars="200"/>
        <w:jc w:val="left"/>
        <w:textAlignment w:val="auto"/>
        <w:rPr>
          <w:sz w:val="21"/>
          <w:szCs w:val="21"/>
        </w:rPr>
      </w:pPr>
      <w:r>
        <w:rPr>
          <w:rFonts w:ascii="宋体" w:hAnsi="宋体"/>
          <w:sz w:val="21"/>
          <w:szCs w:val="21"/>
        </w:rPr>
        <w:t>公司创立于1992年，历经30余年的发展，已成为国内高端环保家具板材产销规模最大的企业之一，公司以推进行业绿色进程为己任，始终坚持研发和生产高品质、健康环保的装饰材料，致力于成为国内领先的装饰材料综合服务运营商。秉承“兔宝宝，让家更好”的企业使命，以环保家具板材为依托，拓展全屋木作定制家居业务体系，全力为消费者打造绿色、健康、环保的家居环境。</w:t>
      </w:r>
    </w:p>
    <w:p>
      <w:pPr>
        <w:keepNext w:val="0"/>
        <w:keepLines w:val="0"/>
        <w:pageBreakBefore w:val="0"/>
        <w:widowControl w:val="0"/>
        <w:kinsoku/>
        <w:wordWrap/>
        <w:overflowPunct/>
        <w:topLinePunct w:val="0"/>
        <w:autoSpaceDE/>
        <w:autoSpaceDN/>
        <w:bidi w:val="0"/>
        <w:adjustRightInd/>
        <w:snapToGrid/>
        <w:spacing w:before="0" w:after="0" w:line="312" w:lineRule="auto"/>
        <w:ind w:left="0" w:right="0" w:firstLine="420" w:firstLineChars="200"/>
        <w:jc w:val="left"/>
        <w:textAlignment w:val="auto"/>
        <w:rPr>
          <w:sz w:val="21"/>
          <w:szCs w:val="21"/>
        </w:rPr>
      </w:pPr>
      <w:r>
        <w:rPr>
          <w:rFonts w:ascii="宋体" w:hAnsi="宋体"/>
          <w:sz w:val="21"/>
          <w:szCs w:val="21"/>
        </w:rPr>
        <w:t>公司目前有装饰材料和定制家居两大业务。其中装饰材料业务主要通过经销商模式实现销售，销售渠道主要有门店零售以及家装公司、家具厂和工装渠道，产品包括家具板材、基础板材等主材产品和石膏板、科技木皮、装饰纸、封边条、五金和胶黏剂等配套辅材产品；定制家居业务分为经销商模式的零售业务和工程模式的大宗业务实现销售，产品包括有定制衣柜、橱柜、地板、木门、墙板等。</w:t>
      </w:r>
    </w:p>
    <w:p>
      <w:pPr>
        <w:spacing w:before="0" w:after="0"/>
        <w:ind w:left="0" w:right="0" w:firstLine="479"/>
        <w:jc w:val="left"/>
      </w:pPr>
    </w:p>
    <w:p>
      <w:pPr>
        <w:spacing w:before="0" w:after="0"/>
        <w:ind w:left="0" w:right="0" w:firstLine="479"/>
        <w:jc w:val="left"/>
      </w:pPr>
    </w:p>
    <w:p>
      <w:pPr>
        <w:keepNext w:val="0"/>
        <w:keepLines w:val="0"/>
        <w:pageBreakBefore w:val="0"/>
        <w:widowControl w:val="0"/>
        <w:kinsoku/>
        <w:wordWrap/>
        <w:overflowPunct/>
        <w:topLinePunct w:val="0"/>
        <w:autoSpaceDE/>
        <w:autoSpaceDN/>
        <w:bidi w:val="0"/>
        <w:adjustRightInd/>
        <w:snapToGrid/>
        <w:spacing w:before="0" w:after="0"/>
        <w:ind w:left="0" w:right="0" w:firstLine="0"/>
        <w:jc w:val="center"/>
        <w:textAlignment w:val="auto"/>
      </w:pPr>
      <w:r>
        <w:drawing>
          <wp:inline distT="0" distB="0" distL="0" distR="0">
            <wp:extent cx="5798820" cy="3660140"/>
            <wp:effectExtent l="0" t="0" r="11430" b="165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6"/>
                    <a:srcRect l="5791" t="4789" r="6241" b="52765"/>
                    <a:stretch>
                      <a:fillRect/>
                    </a:stretch>
                  </pic:blipFill>
                  <pic:spPr>
                    <a:xfrm>
                      <a:off x="0" y="0"/>
                      <a:ext cx="5798820" cy="3660140"/>
                    </a:xfrm>
                    <a:prstGeom prst="rect">
                      <a:avLst/>
                    </a:prstGeom>
                  </pic:spPr>
                </pic:pic>
              </a:graphicData>
            </a:graphic>
          </wp:inline>
        </w:drawing>
      </w:r>
    </w:p>
    <w:p>
      <w:pPr>
        <w:spacing w:before="0" w:after="0"/>
        <w:ind w:left="0" w:right="0" w:firstLine="479"/>
        <w:jc w:val="left"/>
      </w:pPr>
    </w:p>
    <w:p>
      <w:pPr>
        <w:spacing w:before="0" w:after="0"/>
        <w:ind w:left="0" w:right="0" w:firstLine="479"/>
        <w:jc w:val="left"/>
      </w:pPr>
    </w:p>
    <w:p>
      <w:pPr>
        <w:keepNext w:val="0"/>
        <w:keepLines w:val="0"/>
        <w:pageBreakBefore w:val="0"/>
        <w:widowControl w:val="0"/>
        <w:kinsoku/>
        <w:wordWrap/>
        <w:overflowPunct/>
        <w:topLinePunct w:val="0"/>
        <w:autoSpaceDE/>
        <w:autoSpaceDN/>
        <w:bidi w:val="0"/>
        <w:adjustRightInd/>
        <w:snapToGrid/>
        <w:spacing w:before="0" w:after="0"/>
        <w:ind w:left="0" w:right="0" w:firstLine="0"/>
        <w:jc w:val="center"/>
        <w:textAlignment w:val="auto"/>
      </w:pPr>
      <w:r>
        <w:drawing>
          <wp:inline distT="0" distB="0" distL="0" distR="0">
            <wp:extent cx="5676265" cy="3823335"/>
            <wp:effectExtent l="0" t="0" r="635" b="5715"/>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6"/>
                    <a:srcRect l="4834" t="49863" r="4995" b="3713"/>
                    <a:stretch>
                      <a:fillRect/>
                    </a:stretch>
                  </pic:blipFill>
                  <pic:spPr>
                    <a:xfrm>
                      <a:off x="0" y="0"/>
                      <a:ext cx="5676265" cy="382333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0" w:after="0" w:line="312" w:lineRule="auto"/>
        <w:ind w:left="0" w:right="0" w:firstLine="420" w:firstLineChars="200"/>
        <w:jc w:val="left"/>
        <w:textAlignment w:val="auto"/>
        <w:rPr>
          <w:sz w:val="21"/>
          <w:szCs w:val="21"/>
        </w:rPr>
      </w:pPr>
      <w:r>
        <w:rPr>
          <w:rFonts w:ascii="Times New Roman" w:hAnsi="Times New Roman"/>
          <w:sz w:val="21"/>
          <w:szCs w:val="21"/>
        </w:rPr>
        <w:t>（2）公司所处行业情况</w:t>
      </w:r>
    </w:p>
    <w:p>
      <w:pPr>
        <w:keepNext w:val="0"/>
        <w:keepLines w:val="0"/>
        <w:pageBreakBefore w:val="0"/>
        <w:widowControl w:val="0"/>
        <w:kinsoku/>
        <w:wordWrap/>
        <w:overflowPunct/>
        <w:topLinePunct w:val="0"/>
        <w:autoSpaceDE/>
        <w:autoSpaceDN/>
        <w:bidi w:val="0"/>
        <w:adjustRightInd/>
        <w:snapToGrid/>
        <w:spacing w:before="0" w:after="0" w:line="312" w:lineRule="auto"/>
        <w:ind w:left="0" w:right="0" w:firstLine="420" w:firstLineChars="200"/>
        <w:jc w:val="left"/>
        <w:textAlignment w:val="auto"/>
        <w:rPr>
          <w:rFonts w:hint="eastAsia" w:ascii="Times New Roman" w:hAnsi="Times New Roman" w:eastAsia="宋体"/>
          <w:sz w:val="21"/>
          <w:szCs w:val="21"/>
          <w:lang w:eastAsia="zh-CN"/>
        </w:rPr>
      </w:pPr>
      <w:r>
        <w:rPr>
          <w:rFonts w:hint="eastAsia" w:ascii="Times New Roman" w:hAnsi="Times New Roman"/>
          <w:sz w:val="21"/>
          <w:szCs w:val="21"/>
          <w:lang w:val="en-US" w:eastAsia="zh-CN"/>
        </w:rPr>
        <w:t>1）</w:t>
      </w:r>
      <w:r>
        <w:rPr>
          <w:rFonts w:ascii="Times New Roman" w:hAnsi="Times New Roman"/>
          <w:sz w:val="21"/>
          <w:szCs w:val="21"/>
        </w:rPr>
        <w:t>人造板行业发展</w:t>
      </w:r>
    </w:p>
    <w:p>
      <w:pPr>
        <w:keepNext w:val="0"/>
        <w:keepLines w:val="0"/>
        <w:pageBreakBefore w:val="0"/>
        <w:widowControl w:val="0"/>
        <w:kinsoku/>
        <w:wordWrap/>
        <w:overflowPunct/>
        <w:topLinePunct w:val="0"/>
        <w:autoSpaceDE/>
        <w:autoSpaceDN/>
        <w:bidi w:val="0"/>
        <w:adjustRightInd/>
        <w:snapToGrid/>
        <w:spacing w:before="0" w:after="0" w:line="312" w:lineRule="auto"/>
        <w:ind w:left="0" w:right="0" w:firstLine="420" w:firstLineChars="200"/>
        <w:jc w:val="left"/>
        <w:textAlignment w:val="auto"/>
        <w:rPr>
          <w:rFonts w:hint="eastAsia" w:ascii="Times New Roman" w:hAnsi="Times New Roman" w:eastAsia="宋体"/>
          <w:sz w:val="21"/>
          <w:szCs w:val="21"/>
          <w:lang w:eastAsia="zh-CN"/>
        </w:rPr>
      </w:pPr>
      <w:r>
        <w:rPr>
          <w:rFonts w:ascii="Times New Roman" w:hAnsi="Times New Roman"/>
          <w:sz w:val="21"/>
          <w:szCs w:val="21"/>
        </w:rPr>
        <w:t>我国是人造板生产、消费和贸易的第一大国，人造板总生产能力和总消费量近3亿立方米。人造板行业的下游主要为家具制造、建筑装饰和地板等行业，近两年来在国内宏观经济与房地产市场的影响下，人造板市场产量和消费呈现一定下降的趋势，其中胶合板类产品作为建筑和家居制造的重要基础材料，其生产和消费均呈现下降趋势；纤维板在定制家居和板式家具领域的应用部分被刨花板替代，产线改造及转型等原因导致纤维板产量下降明显；刨花板产品生产技术水平和优质产品比例的提升，在家具制造等下游市场应用得到认可，生产和消费保持稳定的发展态势。</w:t>
      </w:r>
    </w:p>
    <w:p>
      <w:pPr>
        <w:keepNext w:val="0"/>
        <w:keepLines w:val="0"/>
        <w:pageBreakBefore w:val="0"/>
        <w:widowControl w:val="0"/>
        <w:kinsoku/>
        <w:wordWrap/>
        <w:overflowPunct/>
        <w:topLinePunct w:val="0"/>
        <w:autoSpaceDE/>
        <w:autoSpaceDN/>
        <w:bidi w:val="0"/>
        <w:adjustRightInd/>
        <w:snapToGrid/>
        <w:spacing w:before="0" w:after="0" w:line="312" w:lineRule="auto"/>
        <w:ind w:left="0" w:right="0" w:firstLine="420" w:firstLineChars="200"/>
        <w:jc w:val="left"/>
        <w:textAlignment w:val="auto"/>
        <w:rPr>
          <w:rFonts w:hint="eastAsia" w:ascii="Times New Roman" w:hAnsi="Times New Roman" w:eastAsia="宋体"/>
          <w:sz w:val="21"/>
          <w:szCs w:val="21"/>
          <w:lang w:eastAsia="zh-CN"/>
        </w:rPr>
      </w:pPr>
      <w:r>
        <w:rPr>
          <w:rFonts w:ascii="Times New Roman" w:hAnsi="Times New Roman"/>
          <w:sz w:val="21"/>
          <w:szCs w:val="21"/>
        </w:rPr>
        <w:t>在胶合板行业方面，据中国林产工业协会监测数据显示，国内胶合板总生产能力由2020年的2.56亿立方米下降至2023年底的2.05亿立方米左右；胶合板生产企业数量由2020年的15200余家下降至2023年底的7400家左右，行业整体呈现生产能力一定下降，企业数量大幅减少的态势。因产品品质需求提升以及市场渠道B端化后，中小企业退出速度明显加快，龙头企业在品牌影响力、渠道能力、供应链整合等方面具有综合性的优势，市场占有率提升较为明显。</w:t>
      </w:r>
    </w:p>
    <w:p>
      <w:pPr>
        <w:keepNext w:val="0"/>
        <w:keepLines w:val="0"/>
        <w:pageBreakBefore w:val="0"/>
        <w:widowControl w:val="0"/>
        <w:kinsoku/>
        <w:wordWrap/>
        <w:overflowPunct/>
        <w:topLinePunct w:val="0"/>
        <w:autoSpaceDE/>
        <w:autoSpaceDN/>
        <w:bidi w:val="0"/>
        <w:adjustRightInd/>
        <w:snapToGrid/>
        <w:spacing w:before="0" w:after="0" w:line="312" w:lineRule="auto"/>
        <w:ind w:left="0" w:right="0" w:firstLine="420" w:firstLineChars="200"/>
        <w:jc w:val="left"/>
        <w:textAlignment w:val="auto"/>
        <w:rPr>
          <w:rFonts w:hint="eastAsia" w:ascii="Times New Roman" w:hAnsi="Times New Roman" w:eastAsia="宋体"/>
          <w:sz w:val="21"/>
          <w:szCs w:val="21"/>
          <w:lang w:eastAsia="zh-CN"/>
        </w:rPr>
      </w:pPr>
      <w:r>
        <w:rPr>
          <w:rFonts w:ascii="Times New Roman" w:hAnsi="Times New Roman"/>
          <w:sz w:val="21"/>
          <w:szCs w:val="21"/>
        </w:rPr>
        <w:t>在刨花板行业方面，行业呈现企业数量与生产线数量恢复增长、总生产能力与平均单线生产能力持续上升的态势，2023年底刨花板总产能已达5269万立方米，超越纤维板成为中国人造板第二大板种。近两年来，国内新建刨花板产能加速扩张，在建产线将陆续在2024-2025年期间投入运行，届时总产能将突破6500万立方米/年，从现阶段来看，国内刨花板产业出现阶段性投资过热，供需关系失衡风险增大的局面。</w:t>
      </w:r>
    </w:p>
    <w:p>
      <w:pPr>
        <w:keepNext w:val="0"/>
        <w:keepLines w:val="0"/>
        <w:pageBreakBefore w:val="0"/>
        <w:widowControl w:val="0"/>
        <w:kinsoku/>
        <w:wordWrap/>
        <w:overflowPunct/>
        <w:topLinePunct w:val="0"/>
        <w:autoSpaceDE/>
        <w:autoSpaceDN/>
        <w:bidi w:val="0"/>
        <w:adjustRightInd/>
        <w:snapToGrid/>
        <w:spacing w:before="0" w:after="0" w:line="312" w:lineRule="auto"/>
        <w:ind w:left="0" w:right="0" w:firstLine="420" w:firstLineChars="200"/>
        <w:jc w:val="left"/>
        <w:textAlignment w:val="auto"/>
        <w:rPr>
          <w:rFonts w:hint="eastAsia" w:ascii="Times New Roman" w:hAnsi="Times New Roman" w:eastAsia="宋体"/>
          <w:sz w:val="21"/>
          <w:szCs w:val="21"/>
          <w:lang w:eastAsia="zh-CN"/>
        </w:rPr>
      </w:pPr>
      <w:r>
        <w:rPr>
          <w:rFonts w:hint="eastAsia" w:ascii="Times New Roman" w:hAnsi="Times New Roman"/>
          <w:sz w:val="21"/>
          <w:szCs w:val="21"/>
          <w:lang w:val="en-US" w:eastAsia="zh-CN"/>
        </w:rPr>
        <w:t>2）</w:t>
      </w:r>
      <w:r>
        <w:rPr>
          <w:rFonts w:ascii="Times New Roman" w:hAnsi="Times New Roman"/>
          <w:sz w:val="21"/>
          <w:szCs w:val="21"/>
        </w:rPr>
        <w:t>家具制造行业发展</w:t>
      </w:r>
    </w:p>
    <w:p>
      <w:pPr>
        <w:keepNext w:val="0"/>
        <w:keepLines w:val="0"/>
        <w:pageBreakBefore w:val="0"/>
        <w:widowControl w:val="0"/>
        <w:kinsoku/>
        <w:wordWrap/>
        <w:overflowPunct/>
        <w:topLinePunct w:val="0"/>
        <w:autoSpaceDE/>
        <w:autoSpaceDN/>
        <w:bidi w:val="0"/>
        <w:adjustRightInd/>
        <w:snapToGrid/>
        <w:spacing w:before="0" w:after="0" w:line="312" w:lineRule="auto"/>
        <w:ind w:left="0" w:right="0" w:firstLine="420" w:firstLineChars="200"/>
        <w:jc w:val="left"/>
        <w:textAlignment w:val="auto"/>
        <w:rPr>
          <w:rFonts w:hint="eastAsia" w:ascii="Times New Roman" w:hAnsi="Times New Roman" w:eastAsia="宋体"/>
          <w:sz w:val="21"/>
          <w:szCs w:val="21"/>
          <w:lang w:eastAsia="zh-CN"/>
        </w:rPr>
      </w:pPr>
      <w:r>
        <w:rPr>
          <w:rFonts w:ascii="Times New Roman" w:hAnsi="Times New Roman"/>
          <w:sz w:val="21"/>
          <w:szCs w:val="21"/>
        </w:rPr>
        <w:t>2023 年国内规模以上家具制造业企业营业收入6555.7亿元，同比下降4.4%。定制家居行业属于家具制造业的细分行业，凭借对家居空间的高效利用、充分体现消费者的个性化需求、设计感强等特点，成为家具消费领域中的增长亮点。近年来，随着房地产市场的持续调整，定制家居消费市场受到一定影响，增速呈现放缓的趋势，但随着定制家居逐步替代手工制作柜体和成品家具，国内定制家居行业仍有增长空间。</w:t>
      </w:r>
    </w:p>
    <w:p>
      <w:pPr>
        <w:keepNext w:val="0"/>
        <w:keepLines w:val="0"/>
        <w:pageBreakBefore w:val="0"/>
        <w:widowControl w:val="0"/>
        <w:kinsoku/>
        <w:wordWrap/>
        <w:overflowPunct/>
        <w:topLinePunct w:val="0"/>
        <w:autoSpaceDE/>
        <w:autoSpaceDN/>
        <w:bidi w:val="0"/>
        <w:adjustRightInd/>
        <w:snapToGrid/>
        <w:spacing w:before="0" w:after="0" w:line="312" w:lineRule="auto"/>
        <w:ind w:left="0" w:right="0" w:firstLine="420" w:firstLineChars="200"/>
        <w:jc w:val="left"/>
        <w:textAlignment w:val="auto"/>
        <w:rPr>
          <w:rFonts w:hint="eastAsia" w:ascii="Times New Roman" w:hAnsi="Times New Roman" w:eastAsia="宋体"/>
          <w:sz w:val="21"/>
          <w:szCs w:val="21"/>
          <w:lang w:eastAsia="zh-CN"/>
        </w:rPr>
      </w:pPr>
      <w:r>
        <w:rPr>
          <w:rFonts w:ascii="Times New Roman" w:hAnsi="Times New Roman"/>
          <w:sz w:val="21"/>
          <w:szCs w:val="21"/>
        </w:rPr>
        <w:t>由于定制家居产品的需求个性化程度高、难以标准化、同质化严重以及行业进入壁垒低，定制行业目前仍是一个充分竞争和分散化的市场。同时因家装消费疲软导致市场竞争完全白热化，行业价格战愈演愈烈，产业链利润率水平被进一步压缩。应对严峻的市场环境，头部企业已开始从核心单品过渡到全品类一体化解决方案的整家定制模式，制定“柜-门-墙-成品-软装”的产品组合套餐，通过一体化设计达成一站式购买，提升客单值把流量价值最大化。此外，面对市场流量碎片化、消费者需求逐步分化的趋势下，装企渠道、海外市场、高定产品以及电商模式等成为新的发展趋势。</w:t>
      </w:r>
    </w:p>
    <w:p>
      <w:pPr>
        <w:keepNext w:val="0"/>
        <w:keepLines w:val="0"/>
        <w:pageBreakBefore w:val="0"/>
        <w:widowControl w:val="0"/>
        <w:kinsoku/>
        <w:wordWrap/>
        <w:overflowPunct/>
        <w:topLinePunct w:val="0"/>
        <w:autoSpaceDE/>
        <w:autoSpaceDN/>
        <w:bidi w:val="0"/>
        <w:adjustRightInd/>
        <w:snapToGrid/>
        <w:spacing w:before="0" w:after="0" w:line="312" w:lineRule="auto"/>
        <w:ind w:left="0" w:right="0" w:firstLine="420" w:firstLineChars="200"/>
        <w:jc w:val="left"/>
        <w:textAlignment w:val="auto"/>
        <w:rPr>
          <w:rFonts w:hint="eastAsia" w:ascii="Times New Roman" w:hAnsi="Times New Roman" w:eastAsia="宋体"/>
          <w:sz w:val="21"/>
          <w:szCs w:val="21"/>
          <w:lang w:eastAsia="zh-CN"/>
        </w:rPr>
      </w:pPr>
      <w:r>
        <w:rPr>
          <w:rFonts w:hint="eastAsia" w:ascii="Times New Roman" w:hAnsi="Times New Roman"/>
          <w:sz w:val="21"/>
          <w:szCs w:val="21"/>
          <w:lang w:val="en-US" w:eastAsia="zh-CN"/>
        </w:rPr>
        <w:t>3）</w:t>
      </w:r>
      <w:r>
        <w:rPr>
          <w:rFonts w:ascii="Times New Roman" w:hAnsi="Times New Roman"/>
          <w:sz w:val="21"/>
          <w:szCs w:val="21"/>
        </w:rPr>
        <w:t>公司的行业地位</w:t>
      </w:r>
    </w:p>
    <w:p>
      <w:pPr>
        <w:keepNext w:val="0"/>
        <w:keepLines w:val="0"/>
        <w:pageBreakBefore w:val="0"/>
        <w:widowControl w:val="0"/>
        <w:kinsoku/>
        <w:wordWrap/>
        <w:overflowPunct/>
        <w:topLinePunct w:val="0"/>
        <w:autoSpaceDE/>
        <w:autoSpaceDN/>
        <w:bidi w:val="0"/>
        <w:adjustRightInd/>
        <w:snapToGrid/>
        <w:spacing w:before="0" w:after="0" w:line="312" w:lineRule="auto"/>
        <w:ind w:left="0" w:right="0" w:firstLine="420" w:firstLineChars="200"/>
        <w:jc w:val="left"/>
        <w:textAlignment w:val="auto"/>
        <w:rPr>
          <w:rFonts w:hint="eastAsia" w:ascii="Times New Roman" w:hAnsi="Times New Roman" w:eastAsia="宋体"/>
          <w:sz w:val="21"/>
          <w:szCs w:val="21"/>
          <w:lang w:eastAsia="zh-CN"/>
        </w:rPr>
      </w:pPr>
      <w:r>
        <w:rPr>
          <w:rFonts w:ascii="Times New Roman" w:hAnsi="Times New Roman"/>
          <w:sz w:val="21"/>
          <w:szCs w:val="21"/>
        </w:rPr>
        <w:t>公司在以家具板材为核心的装饰材料领域精耕细作多年，已经成为国内销售规模最大、渠道覆盖最广、专卖店数量最多、经营品类最全的行业龙头企业之一。近年来公司布局多渠道运营效果显著，零售业务加速推进渠道下沉和密集分销，重点开发和精耕乡镇市场，大力推进门店新零售模式，持续加强小B端业务开发，家具厂、家装公司、工装业务等渠道稳健增长。大力加强产品研发和设计，不断丰富功能型优质环保基材、定制家具饰材以及工程系列的产品矩阵。公司根据市场布局和渠道拓展需要，整合优质供应商资源，强化对供应商的管理和服务，合理布局配套产能，形成了良好的供销协作和物流配送体系，公司的竞争优势进一步得到加强，行业地位进一步凸显。</w:t>
      </w:r>
    </w:p>
    <w:p>
      <w:pPr>
        <w:keepNext w:val="0"/>
        <w:keepLines w:val="0"/>
        <w:pageBreakBefore w:val="0"/>
        <w:widowControl w:val="0"/>
        <w:kinsoku/>
        <w:wordWrap/>
        <w:overflowPunct/>
        <w:topLinePunct w:val="0"/>
        <w:autoSpaceDE/>
        <w:autoSpaceDN/>
        <w:bidi w:val="0"/>
        <w:adjustRightInd/>
        <w:snapToGrid/>
        <w:spacing w:before="0" w:after="0" w:line="312" w:lineRule="auto"/>
        <w:ind w:left="0" w:right="0" w:firstLine="420" w:firstLineChars="200"/>
        <w:jc w:val="left"/>
        <w:textAlignment w:val="auto"/>
        <w:rPr>
          <w:sz w:val="21"/>
          <w:szCs w:val="21"/>
        </w:rPr>
      </w:pPr>
      <w:r>
        <w:rPr>
          <w:rFonts w:ascii="Times New Roman" w:hAnsi="Times New Roman"/>
          <w:sz w:val="21"/>
          <w:szCs w:val="21"/>
        </w:rPr>
        <w:t>公司定制家居零售业务以华东地区为核心市场，以兔宝宝高端环保板材为依托，快速布局以全屋定制为主的健康家居终端门店网络体系，全面提升门店运营管理和服务水平，打造华东地区强势品牌；定制工程业务将持续强化风控管理，优选地产项目降低回款风险，应对市场变化优化组织架构降本增效，大力推动业务融合和渠道转型，实现健康长远发展。</w:t>
      </w:r>
    </w:p>
    <w:p>
      <w:pPr>
        <w:keepNext/>
        <w:keepLines/>
        <w:spacing w:before="300" w:after="300" w:line="280" w:lineRule="exact"/>
        <w:jc w:val="left"/>
        <w:outlineLvl w:val="2"/>
        <w:rPr>
          <w:rFonts w:ascii="宋体" w:hAnsi="宋体" w:eastAsia="宋体" w:cs="宋体"/>
          <w:b/>
          <w:bCs/>
          <w:sz w:val="21"/>
          <w:szCs w:val="21"/>
        </w:rPr>
      </w:pPr>
      <w:bookmarkStart w:id="4" w:name="_Toc988893"/>
      <w:r>
        <w:rPr>
          <w:rFonts w:ascii="宋体" w:hAnsi="宋体" w:eastAsia="宋体" w:cs="宋体"/>
          <w:b/>
          <w:bCs/>
          <w:sz w:val="21"/>
          <w:szCs w:val="21"/>
        </w:rPr>
        <w:t>3、主要会计数据和财务指标</w:t>
      </w:r>
      <w:bookmarkEnd w:id="4"/>
    </w:p>
    <w:p>
      <w:pPr>
        <w:keepNext/>
        <w:keepLines/>
        <w:spacing w:before="300" w:after="300" w:line="280" w:lineRule="exact"/>
        <w:jc w:val="left"/>
        <w:outlineLvl w:val="3"/>
        <w:rPr>
          <w:rFonts w:ascii="宋体" w:hAnsi="宋体" w:eastAsia="宋体" w:cs="宋体"/>
          <w:b/>
          <w:bCs/>
          <w:sz w:val="18"/>
          <w:szCs w:val="18"/>
        </w:rPr>
      </w:pPr>
      <w:bookmarkStart w:id="5" w:name="_Toc988894"/>
      <w:r>
        <w:rPr>
          <w:rFonts w:ascii="宋体" w:hAnsi="宋体" w:eastAsia="宋体" w:cs="宋体"/>
          <w:b/>
          <w:bCs/>
          <w:sz w:val="18"/>
          <w:szCs w:val="18"/>
        </w:rPr>
        <w:t>（1） 近三年主要会计数据和财务指标</w:t>
      </w:r>
      <w:bookmarkEnd w:id="5"/>
    </w:p>
    <w:p>
      <w:pPr>
        <w:spacing w:before="100" w:after="100" w:line="240" w:lineRule="exact"/>
        <w:jc w:val="left"/>
        <w:rPr>
          <w:rFonts w:ascii="宋体" w:hAnsi="宋体" w:eastAsia="宋体" w:cs="宋体"/>
          <w:sz w:val="18"/>
          <w:szCs w:val="18"/>
        </w:rPr>
      </w:pPr>
      <w:r>
        <w:rPr>
          <w:rFonts w:ascii="宋体" w:hAnsi="宋体" w:eastAsia="宋体" w:cs="宋体"/>
          <w:sz w:val="18"/>
          <w:szCs w:val="18"/>
        </w:rPr>
        <w:t>公司是否需追溯调整或重述以前年度会计数据</w:t>
      </w:r>
    </w:p>
    <w:p>
      <w:pPr>
        <w:spacing w:before="100" w:after="100" w:line="240" w:lineRule="exact"/>
        <w:jc w:val="left"/>
        <w:rPr>
          <w:rFonts w:ascii="宋体" w:hAnsi="宋体" w:eastAsia="宋体" w:cs="宋体"/>
          <w:sz w:val="18"/>
          <w:szCs w:val="18"/>
        </w:rPr>
      </w:pPr>
      <w:r>
        <w:rPr>
          <w:rFonts w:ascii="宋体" w:hAnsi="宋体" w:eastAsia="宋体" w:cs="宋体"/>
          <w:sz w:val="18"/>
          <w:szCs w:val="18"/>
        </w:rPr>
        <w:sym w:font="Wingdings 2" w:char="F052"/>
      </w:r>
      <w:r>
        <w:rPr>
          <w:rFonts w:ascii="宋体" w:hAnsi="宋体" w:eastAsia="宋体" w:cs="宋体"/>
          <w:sz w:val="18"/>
          <w:szCs w:val="18"/>
        </w:rPr>
        <w:t>是 □否</w:t>
      </w:r>
    </w:p>
    <w:p>
      <w:pPr>
        <w:spacing w:before="100" w:after="100" w:line="240" w:lineRule="exact"/>
        <w:jc w:val="left"/>
        <w:rPr>
          <w:rFonts w:ascii="宋体" w:hAnsi="宋体" w:eastAsia="宋体" w:cs="宋体"/>
          <w:sz w:val="18"/>
          <w:szCs w:val="18"/>
        </w:rPr>
      </w:pPr>
      <w:r>
        <w:rPr>
          <w:rFonts w:ascii="宋体" w:hAnsi="宋体" w:eastAsia="宋体" w:cs="宋体"/>
          <w:sz w:val="18"/>
          <w:szCs w:val="18"/>
        </w:rPr>
        <w:t>追溯调整或重述原因</w:t>
      </w:r>
    </w:p>
    <w:p>
      <w:pPr>
        <w:spacing w:before="0" w:after="0" w:line="240" w:lineRule="exact"/>
        <w:jc w:val="left"/>
        <w:rPr>
          <w:rFonts w:ascii="宋体" w:hAnsi="宋体" w:eastAsia="宋体" w:cs="宋体"/>
          <w:sz w:val="18"/>
          <w:szCs w:val="18"/>
        </w:rPr>
      </w:pPr>
      <w:r>
        <w:rPr>
          <w:rFonts w:ascii="宋体" w:hAnsi="宋体" w:eastAsia="宋体" w:cs="宋体"/>
          <w:sz w:val="18"/>
          <w:szCs w:val="18"/>
        </w:rPr>
        <w:t>会计政策变更</w:t>
      </w:r>
    </w:p>
    <w:p>
      <w:pPr>
        <w:spacing w:before="120" w:after="120" w:line="240" w:lineRule="exact"/>
        <w:jc w:val="right"/>
        <w:rPr>
          <w:rFonts w:ascii="宋体" w:hAnsi="宋体" w:eastAsia="宋体" w:cs="宋体"/>
          <w:sz w:val="18"/>
          <w:szCs w:val="18"/>
        </w:rPr>
      </w:pPr>
      <w:r>
        <w:rPr>
          <w:rFonts w:ascii="宋体" w:hAnsi="宋体" w:eastAsia="宋体" w:cs="宋体"/>
          <w:sz w:val="18"/>
          <w:szCs w:val="18"/>
        </w:rPr>
        <w:t>元</w:t>
      </w:r>
    </w:p>
    <w:tbl>
      <w:tblPr>
        <w:tblStyle w:val="3"/>
        <w:tblW w:w="9639" w:type="dxa"/>
        <w:tblInd w:w="0" w:type="dxa"/>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fixed"/>
        <w:tblCellMar>
          <w:top w:w="0" w:type="dxa"/>
          <w:left w:w="108" w:type="dxa"/>
          <w:bottom w:w="0" w:type="dxa"/>
          <w:right w:w="108" w:type="dxa"/>
        </w:tblCellMar>
      </w:tblPr>
      <w:tblGrid>
        <w:gridCol w:w="1377"/>
        <w:gridCol w:w="1377"/>
        <w:gridCol w:w="1377"/>
        <w:gridCol w:w="1377"/>
        <w:gridCol w:w="1377"/>
        <w:gridCol w:w="1377"/>
        <w:gridCol w:w="1377"/>
      </w:tblGrid>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PrEx>
        <w:trPr>
          <w:trHeight w:val="240" w:hRule="atLeast"/>
        </w:trPr>
        <w:tc>
          <w:tcPr>
            <w:tcW w:w="1377" w:type="dxa"/>
            <w:vMerge w:val="restart"/>
            <w:tcBorders>
              <w:top w:val="single" w:color="auto" w:sz="2" w:space="0"/>
              <w:left w:val="single" w:color="auto" w:sz="2" w:space="0"/>
              <w:bottom w:val="single" w:color="auto" w:sz="2" w:space="0"/>
              <w:right w:val="single" w:color="auto" w:sz="2" w:space="0"/>
            </w:tcBorders>
            <w:shd w:val="clear" w:color="auto" w:fill="D3D3D3"/>
            <w:vAlign w:val="center"/>
          </w:tcPr>
          <w:p/>
        </w:tc>
        <w:tc>
          <w:tcPr>
            <w:tcW w:w="1377" w:type="dxa"/>
            <w:vMerge w:val="restart"/>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center"/>
              <w:rPr>
                <w:rFonts w:ascii="宋体" w:hAnsi="宋体" w:eastAsia="宋体" w:cs="宋体"/>
                <w:sz w:val="18"/>
                <w:szCs w:val="18"/>
              </w:rPr>
            </w:pPr>
            <w:r>
              <w:rPr>
                <w:rFonts w:ascii="宋体" w:hAnsi="宋体" w:eastAsia="宋体" w:cs="宋体"/>
                <w:sz w:val="18"/>
                <w:szCs w:val="18"/>
              </w:rPr>
              <w:t>2023年末</w:t>
            </w:r>
          </w:p>
        </w:tc>
        <w:tc>
          <w:tcPr>
            <w:tcW w:w="2754" w:type="dxa"/>
            <w:gridSpan w:val="2"/>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center"/>
              <w:rPr>
                <w:rFonts w:ascii="宋体" w:hAnsi="宋体" w:eastAsia="宋体" w:cs="宋体"/>
                <w:sz w:val="18"/>
                <w:szCs w:val="18"/>
              </w:rPr>
            </w:pPr>
            <w:r>
              <w:rPr>
                <w:rFonts w:ascii="宋体" w:hAnsi="宋体" w:eastAsia="宋体" w:cs="宋体"/>
                <w:sz w:val="18"/>
                <w:szCs w:val="18"/>
              </w:rPr>
              <w:t>2022年末</w:t>
            </w:r>
          </w:p>
        </w:tc>
        <w:tc>
          <w:tcPr>
            <w:tcW w:w="1377" w:type="dxa"/>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center"/>
              <w:rPr>
                <w:rFonts w:ascii="宋体" w:hAnsi="宋体" w:eastAsia="宋体" w:cs="宋体"/>
                <w:sz w:val="18"/>
                <w:szCs w:val="18"/>
              </w:rPr>
            </w:pPr>
            <w:r>
              <w:rPr>
                <w:rFonts w:ascii="宋体" w:hAnsi="宋体" w:eastAsia="宋体" w:cs="宋体"/>
                <w:sz w:val="18"/>
                <w:szCs w:val="18"/>
              </w:rPr>
              <w:t>本年末比上年末增减</w:t>
            </w:r>
          </w:p>
        </w:tc>
        <w:tc>
          <w:tcPr>
            <w:tcW w:w="2754" w:type="dxa"/>
            <w:gridSpan w:val="2"/>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center"/>
              <w:rPr>
                <w:rFonts w:ascii="宋体" w:hAnsi="宋体" w:eastAsia="宋体" w:cs="宋体"/>
                <w:sz w:val="18"/>
                <w:szCs w:val="18"/>
              </w:rPr>
            </w:pPr>
            <w:r>
              <w:rPr>
                <w:rFonts w:ascii="宋体" w:hAnsi="宋体" w:eastAsia="宋体" w:cs="宋体"/>
                <w:sz w:val="18"/>
                <w:szCs w:val="18"/>
              </w:rPr>
              <w:t>2021年末</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40" w:hRule="atLeast"/>
        </w:trPr>
        <w:tc>
          <w:tcPr>
            <w:tcW w:w="1377" w:type="dxa"/>
            <w:vMerge w:val="continue"/>
            <w:tcBorders>
              <w:top w:val="single" w:color="auto" w:sz="2" w:space="0"/>
              <w:left w:val="single" w:color="auto" w:sz="2" w:space="0"/>
              <w:bottom w:val="single" w:color="auto" w:sz="2" w:space="0"/>
              <w:right w:val="single" w:color="auto" w:sz="2" w:space="0"/>
            </w:tcBorders>
            <w:shd w:val="clear" w:color="auto" w:fill="D3D3D3"/>
            <w:vAlign w:val="center"/>
          </w:tcPr>
          <w:p/>
        </w:tc>
        <w:tc>
          <w:tcPr>
            <w:tcW w:w="1377" w:type="dxa"/>
            <w:vMerge w:val="continue"/>
            <w:tcBorders>
              <w:top w:val="single" w:color="auto" w:sz="2" w:space="0"/>
              <w:left w:val="single" w:color="auto" w:sz="2" w:space="0"/>
              <w:bottom w:val="single" w:color="auto" w:sz="2" w:space="0"/>
              <w:right w:val="single" w:color="auto" w:sz="2" w:space="0"/>
            </w:tcBorders>
            <w:shd w:val="clear" w:color="auto" w:fill="D3D3D3"/>
            <w:vAlign w:val="center"/>
          </w:tcPr>
          <w:p/>
        </w:tc>
        <w:tc>
          <w:tcPr>
            <w:tcW w:w="1377" w:type="dxa"/>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center"/>
              <w:rPr>
                <w:rFonts w:ascii="宋体" w:hAnsi="宋体" w:eastAsia="宋体" w:cs="宋体"/>
                <w:sz w:val="18"/>
                <w:szCs w:val="18"/>
              </w:rPr>
            </w:pPr>
            <w:r>
              <w:rPr>
                <w:rFonts w:ascii="宋体" w:hAnsi="宋体" w:eastAsia="宋体" w:cs="宋体"/>
                <w:sz w:val="18"/>
                <w:szCs w:val="18"/>
              </w:rPr>
              <w:t>调整前</w:t>
            </w:r>
          </w:p>
        </w:tc>
        <w:tc>
          <w:tcPr>
            <w:tcW w:w="1377" w:type="dxa"/>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center"/>
              <w:rPr>
                <w:rFonts w:ascii="宋体" w:hAnsi="宋体" w:eastAsia="宋体" w:cs="宋体"/>
                <w:sz w:val="18"/>
                <w:szCs w:val="18"/>
              </w:rPr>
            </w:pPr>
            <w:r>
              <w:rPr>
                <w:rFonts w:ascii="宋体" w:hAnsi="宋体" w:eastAsia="宋体" w:cs="宋体"/>
                <w:sz w:val="18"/>
                <w:szCs w:val="18"/>
              </w:rPr>
              <w:t>调整后</w:t>
            </w:r>
          </w:p>
        </w:tc>
        <w:tc>
          <w:tcPr>
            <w:tcW w:w="1377" w:type="dxa"/>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center"/>
              <w:rPr>
                <w:rFonts w:ascii="宋体" w:hAnsi="宋体" w:eastAsia="宋体" w:cs="宋体"/>
                <w:sz w:val="18"/>
                <w:szCs w:val="18"/>
              </w:rPr>
            </w:pPr>
            <w:r>
              <w:rPr>
                <w:rFonts w:ascii="宋体" w:hAnsi="宋体" w:eastAsia="宋体" w:cs="宋体"/>
                <w:sz w:val="18"/>
                <w:szCs w:val="18"/>
              </w:rPr>
              <w:t>调整后</w:t>
            </w:r>
          </w:p>
        </w:tc>
        <w:tc>
          <w:tcPr>
            <w:tcW w:w="1377" w:type="dxa"/>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center"/>
              <w:rPr>
                <w:rFonts w:ascii="宋体" w:hAnsi="宋体" w:eastAsia="宋体" w:cs="宋体"/>
                <w:sz w:val="18"/>
                <w:szCs w:val="18"/>
              </w:rPr>
            </w:pPr>
            <w:r>
              <w:rPr>
                <w:rFonts w:ascii="宋体" w:hAnsi="宋体" w:eastAsia="宋体" w:cs="宋体"/>
                <w:sz w:val="18"/>
                <w:szCs w:val="18"/>
              </w:rPr>
              <w:t>调整前</w:t>
            </w:r>
          </w:p>
        </w:tc>
        <w:tc>
          <w:tcPr>
            <w:tcW w:w="1377" w:type="dxa"/>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center"/>
              <w:rPr>
                <w:rFonts w:ascii="宋体" w:hAnsi="宋体" w:eastAsia="宋体" w:cs="宋体"/>
                <w:sz w:val="18"/>
                <w:szCs w:val="18"/>
              </w:rPr>
            </w:pPr>
            <w:r>
              <w:rPr>
                <w:rFonts w:ascii="宋体" w:hAnsi="宋体" w:eastAsia="宋体" w:cs="宋体"/>
                <w:sz w:val="18"/>
                <w:szCs w:val="18"/>
              </w:rPr>
              <w:t>调整后</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40" w:hRule="atLeast"/>
        </w:trPr>
        <w:tc>
          <w:tcPr>
            <w:tcW w:w="1377" w:type="dxa"/>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left"/>
              <w:rPr>
                <w:rFonts w:ascii="宋体" w:hAnsi="宋体" w:eastAsia="宋体" w:cs="宋体"/>
                <w:sz w:val="18"/>
                <w:szCs w:val="18"/>
              </w:rPr>
            </w:pPr>
            <w:r>
              <w:rPr>
                <w:rFonts w:ascii="宋体" w:hAnsi="宋体" w:eastAsia="宋体" w:cs="宋体"/>
                <w:sz w:val="18"/>
                <w:szCs w:val="18"/>
              </w:rPr>
              <w:t>总资产</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6,378,570,014.95</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5,256,444,224.17</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5,257,309,161.61</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21.33%</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5,612,176,602.24</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5,612,577,250.73</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40" w:hRule="atLeast"/>
        </w:trPr>
        <w:tc>
          <w:tcPr>
            <w:tcW w:w="1377" w:type="dxa"/>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left"/>
              <w:rPr>
                <w:rFonts w:ascii="宋体" w:hAnsi="宋体" w:eastAsia="宋体" w:cs="宋体"/>
                <w:sz w:val="18"/>
                <w:szCs w:val="18"/>
              </w:rPr>
            </w:pPr>
            <w:r>
              <w:rPr>
                <w:rFonts w:ascii="宋体" w:hAnsi="宋体" w:eastAsia="宋体" w:cs="宋体"/>
                <w:sz w:val="18"/>
                <w:szCs w:val="18"/>
              </w:rPr>
              <w:t>归属于上市公司股东的净资产</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3,207,145,328.20</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2,347,272,017.51</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2,347,584,889.98</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36.61%</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2,130,138,683.21</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2,130,064,452.26</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40" w:hRule="atLeast"/>
        </w:trPr>
        <w:tc>
          <w:tcPr>
            <w:tcW w:w="1377" w:type="dxa"/>
            <w:vMerge w:val="restart"/>
            <w:tcBorders>
              <w:top w:val="single" w:color="auto" w:sz="2" w:space="0"/>
              <w:left w:val="single" w:color="auto" w:sz="2" w:space="0"/>
              <w:bottom w:val="single" w:color="auto" w:sz="2" w:space="0"/>
              <w:right w:val="single" w:color="auto" w:sz="2" w:space="0"/>
            </w:tcBorders>
            <w:shd w:val="clear" w:color="auto" w:fill="D3D3D3"/>
            <w:vAlign w:val="center"/>
          </w:tcPr>
          <w:p/>
        </w:tc>
        <w:tc>
          <w:tcPr>
            <w:tcW w:w="1377" w:type="dxa"/>
            <w:vMerge w:val="restart"/>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center"/>
              <w:rPr>
                <w:rFonts w:ascii="宋体" w:hAnsi="宋体" w:eastAsia="宋体" w:cs="宋体"/>
                <w:sz w:val="18"/>
                <w:szCs w:val="18"/>
              </w:rPr>
            </w:pPr>
            <w:r>
              <w:rPr>
                <w:rFonts w:ascii="宋体" w:hAnsi="宋体" w:eastAsia="宋体" w:cs="宋体"/>
                <w:sz w:val="18"/>
                <w:szCs w:val="18"/>
              </w:rPr>
              <w:t>2023年</w:t>
            </w:r>
          </w:p>
        </w:tc>
        <w:tc>
          <w:tcPr>
            <w:tcW w:w="2754" w:type="dxa"/>
            <w:gridSpan w:val="2"/>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center"/>
              <w:rPr>
                <w:rFonts w:ascii="宋体" w:hAnsi="宋体" w:eastAsia="宋体" w:cs="宋体"/>
                <w:sz w:val="18"/>
                <w:szCs w:val="18"/>
              </w:rPr>
            </w:pPr>
            <w:r>
              <w:rPr>
                <w:rFonts w:ascii="宋体" w:hAnsi="宋体" w:eastAsia="宋体" w:cs="宋体"/>
                <w:sz w:val="18"/>
                <w:szCs w:val="18"/>
              </w:rPr>
              <w:t>2022年</w:t>
            </w:r>
          </w:p>
        </w:tc>
        <w:tc>
          <w:tcPr>
            <w:tcW w:w="1377" w:type="dxa"/>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center"/>
              <w:rPr>
                <w:rFonts w:ascii="宋体" w:hAnsi="宋体" w:eastAsia="宋体" w:cs="宋体"/>
                <w:sz w:val="18"/>
                <w:szCs w:val="18"/>
              </w:rPr>
            </w:pPr>
            <w:r>
              <w:rPr>
                <w:rFonts w:ascii="宋体" w:hAnsi="宋体" w:eastAsia="宋体" w:cs="宋体"/>
                <w:sz w:val="18"/>
                <w:szCs w:val="18"/>
              </w:rPr>
              <w:t>本年比上年增减</w:t>
            </w:r>
          </w:p>
        </w:tc>
        <w:tc>
          <w:tcPr>
            <w:tcW w:w="2754" w:type="dxa"/>
            <w:gridSpan w:val="2"/>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center"/>
              <w:rPr>
                <w:rFonts w:ascii="宋体" w:hAnsi="宋体" w:eastAsia="宋体" w:cs="宋体"/>
                <w:sz w:val="18"/>
                <w:szCs w:val="18"/>
              </w:rPr>
            </w:pPr>
            <w:r>
              <w:rPr>
                <w:rFonts w:ascii="宋体" w:hAnsi="宋体" w:eastAsia="宋体" w:cs="宋体"/>
                <w:sz w:val="18"/>
                <w:szCs w:val="18"/>
              </w:rPr>
              <w:t>2021年</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40" w:hRule="atLeast"/>
        </w:trPr>
        <w:tc>
          <w:tcPr>
            <w:tcW w:w="1377" w:type="dxa"/>
            <w:vMerge w:val="continue"/>
            <w:tcBorders>
              <w:top w:val="single" w:color="auto" w:sz="2" w:space="0"/>
              <w:left w:val="single" w:color="auto" w:sz="2" w:space="0"/>
              <w:bottom w:val="single" w:color="auto" w:sz="2" w:space="0"/>
              <w:right w:val="single" w:color="auto" w:sz="2" w:space="0"/>
            </w:tcBorders>
            <w:shd w:val="clear" w:color="auto" w:fill="D3D3D3"/>
            <w:vAlign w:val="center"/>
          </w:tcPr>
          <w:p/>
        </w:tc>
        <w:tc>
          <w:tcPr>
            <w:tcW w:w="1377" w:type="dxa"/>
            <w:vMerge w:val="continue"/>
            <w:tcBorders>
              <w:top w:val="single" w:color="auto" w:sz="2" w:space="0"/>
              <w:left w:val="single" w:color="auto" w:sz="2" w:space="0"/>
              <w:bottom w:val="single" w:color="auto" w:sz="2" w:space="0"/>
              <w:right w:val="single" w:color="auto" w:sz="2" w:space="0"/>
            </w:tcBorders>
            <w:shd w:val="clear" w:color="auto" w:fill="D3D3D3"/>
            <w:vAlign w:val="center"/>
          </w:tcPr>
          <w:p/>
        </w:tc>
        <w:tc>
          <w:tcPr>
            <w:tcW w:w="1377" w:type="dxa"/>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center"/>
              <w:rPr>
                <w:rFonts w:ascii="宋体" w:hAnsi="宋体" w:eastAsia="宋体" w:cs="宋体"/>
                <w:sz w:val="18"/>
                <w:szCs w:val="18"/>
              </w:rPr>
            </w:pPr>
            <w:r>
              <w:rPr>
                <w:rFonts w:ascii="宋体" w:hAnsi="宋体" w:eastAsia="宋体" w:cs="宋体"/>
                <w:sz w:val="18"/>
                <w:szCs w:val="18"/>
              </w:rPr>
              <w:t>调整前</w:t>
            </w:r>
          </w:p>
        </w:tc>
        <w:tc>
          <w:tcPr>
            <w:tcW w:w="1377" w:type="dxa"/>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center"/>
              <w:rPr>
                <w:rFonts w:ascii="宋体" w:hAnsi="宋体" w:eastAsia="宋体" w:cs="宋体"/>
                <w:sz w:val="18"/>
                <w:szCs w:val="18"/>
              </w:rPr>
            </w:pPr>
            <w:r>
              <w:rPr>
                <w:rFonts w:ascii="宋体" w:hAnsi="宋体" w:eastAsia="宋体" w:cs="宋体"/>
                <w:sz w:val="18"/>
                <w:szCs w:val="18"/>
              </w:rPr>
              <w:t>调整后</w:t>
            </w:r>
          </w:p>
        </w:tc>
        <w:tc>
          <w:tcPr>
            <w:tcW w:w="1377" w:type="dxa"/>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center"/>
              <w:rPr>
                <w:rFonts w:ascii="宋体" w:hAnsi="宋体" w:eastAsia="宋体" w:cs="宋体"/>
                <w:sz w:val="18"/>
                <w:szCs w:val="18"/>
              </w:rPr>
            </w:pPr>
            <w:r>
              <w:rPr>
                <w:rFonts w:ascii="宋体" w:hAnsi="宋体" w:eastAsia="宋体" w:cs="宋体"/>
                <w:sz w:val="18"/>
                <w:szCs w:val="18"/>
              </w:rPr>
              <w:t>调整后</w:t>
            </w:r>
          </w:p>
        </w:tc>
        <w:tc>
          <w:tcPr>
            <w:tcW w:w="1377" w:type="dxa"/>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center"/>
              <w:rPr>
                <w:rFonts w:ascii="宋体" w:hAnsi="宋体" w:eastAsia="宋体" w:cs="宋体"/>
                <w:sz w:val="18"/>
                <w:szCs w:val="18"/>
              </w:rPr>
            </w:pPr>
            <w:r>
              <w:rPr>
                <w:rFonts w:ascii="宋体" w:hAnsi="宋体" w:eastAsia="宋体" w:cs="宋体"/>
                <w:sz w:val="18"/>
                <w:szCs w:val="18"/>
              </w:rPr>
              <w:t>调整前</w:t>
            </w:r>
          </w:p>
        </w:tc>
        <w:tc>
          <w:tcPr>
            <w:tcW w:w="1377" w:type="dxa"/>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center"/>
              <w:rPr>
                <w:rFonts w:ascii="宋体" w:hAnsi="宋体" w:eastAsia="宋体" w:cs="宋体"/>
                <w:sz w:val="18"/>
                <w:szCs w:val="18"/>
              </w:rPr>
            </w:pPr>
            <w:r>
              <w:rPr>
                <w:rFonts w:ascii="宋体" w:hAnsi="宋体" w:eastAsia="宋体" w:cs="宋体"/>
                <w:sz w:val="18"/>
                <w:szCs w:val="18"/>
              </w:rPr>
              <w:t>调整后</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40" w:hRule="atLeast"/>
        </w:trPr>
        <w:tc>
          <w:tcPr>
            <w:tcW w:w="1377" w:type="dxa"/>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left"/>
              <w:rPr>
                <w:rFonts w:ascii="宋体" w:hAnsi="宋体" w:eastAsia="宋体" w:cs="宋体"/>
                <w:sz w:val="18"/>
                <w:szCs w:val="18"/>
              </w:rPr>
            </w:pPr>
            <w:r>
              <w:rPr>
                <w:rFonts w:ascii="宋体" w:hAnsi="宋体" w:eastAsia="宋体" w:cs="宋体"/>
                <w:sz w:val="18"/>
                <w:szCs w:val="18"/>
              </w:rPr>
              <w:t>营业收入</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9,062,858,503.88</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8,917,387,348.25</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8,917,387,348.25</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1.63%</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9,425,925,257.57</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9,425,925,257.57</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40" w:hRule="atLeast"/>
        </w:trPr>
        <w:tc>
          <w:tcPr>
            <w:tcW w:w="1377" w:type="dxa"/>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left"/>
              <w:rPr>
                <w:rFonts w:ascii="宋体" w:hAnsi="宋体" w:eastAsia="宋体" w:cs="宋体"/>
                <w:sz w:val="18"/>
                <w:szCs w:val="18"/>
              </w:rPr>
            </w:pPr>
            <w:r>
              <w:rPr>
                <w:rFonts w:ascii="宋体" w:hAnsi="宋体" w:eastAsia="宋体" w:cs="宋体"/>
                <w:sz w:val="18"/>
                <w:szCs w:val="18"/>
              </w:rPr>
              <w:t>归属于上市公司股东的净利润</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689,424,317.38</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445,385,024.33</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445,772,127.75</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54.66%</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711,611,887.02</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711,537,656.07</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40" w:hRule="atLeast"/>
        </w:trPr>
        <w:tc>
          <w:tcPr>
            <w:tcW w:w="1377" w:type="dxa"/>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left"/>
              <w:rPr>
                <w:rFonts w:ascii="宋体" w:hAnsi="宋体" w:eastAsia="宋体" w:cs="宋体"/>
                <w:sz w:val="18"/>
                <w:szCs w:val="18"/>
              </w:rPr>
            </w:pPr>
            <w:r>
              <w:rPr>
                <w:rFonts w:ascii="宋体" w:hAnsi="宋体" w:eastAsia="宋体" w:cs="宋体"/>
                <w:sz w:val="18"/>
                <w:szCs w:val="18"/>
              </w:rPr>
              <w:t>归属于上市公司股东的扣除非经常性损益的净利润</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583,426,891.71</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346,262,522.46</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346,649,625.88</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68.30%</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581,504,497.28</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581,430,266.33</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40" w:hRule="atLeast"/>
        </w:trPr>
        <w:tc>
          <w:tcPr>
            <w:tcW w:w="1377" w:type="dxa"/>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left"/>
              <w:rPr>
                <w:rFonts w:ascii="宋体" w:hAnsi="宋体" w:eastAsia="宋体" w:cs="宋体"/>
                <w:sz w:val="18"/>
                <w:szCs w:val="18"/>
              </w:rPr>
            </w:pPr>
            <w:r>
              <w:rPr>
                <w:rFonts w:ascii="宋体" w:hAnsi="宋体" w:eastAsia="宋体" w:cs="宋体"/>
                <w:sz w:val="18"/>
                <w:szCs w:val="18"/>
              </w:rPr>
              <w:t>经营活动产生的现金流量净额</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1,910,339,757.02</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933,542,316.79</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933,542,316.79</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104.63%</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860,285,523.06</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860,285,523.06</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40" w:hRule="atLeast"/>
        </w:trPr>
        <w:tc>
          <w:tcPr>
            <w:tcW w:w="1377" w:type="dxa"/>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left"/>
              <w:rPr>
                <w:rFonts w:ascii="宋体" w:hAnsi="宋体" w:eastAsia="宋体" w:cs="宋体"/>
                <w:sz w:val="18"/>
                <w:szCs w:val="18"/>
              </w:rPr>
            </w:pPr>
            <w:r>
              <w:rPr>
                <w:rFonts w:ascii="宋体" w:hAnsi="宋体" w:eastAsia="宋体" w:cs="宋体"/>
                <w:sz w:val="18"/>
                <w:szCs w:val="18"/>
              </w:rPr>
              <w:t>基本每股收益（元/股）</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0.84</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0.58</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0.59</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42.37%</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0.98</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0.98</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40" w:hRule="atLeast"/>
        </w:trPr>
        <w:tc>
          <w:tcPr>
            <w:tcW w:w="1377" w:type="dxa"/>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left"/>
              <w:rPr>
                <w:rFonts w:ascii="宋体" w:hAnsi="宋体" w:eastAsia="宋体" w:cs="宋体"/>
                <w:sz w:val="18"/>
                <w:szCs w:val="18"/>
              </w:rPr>
            </w:pPr>
            <w:r>
              <w:rPr>
                <w:rFonts w:ascii="宋体" w:hAnsi="宋体" w:eastAsia="宋体" w:cs="宋体"/>
                <w:sz w:val="18"/>
                <w:szCs w:val="18"/>
              </w:rPr>
              <w:t>稀释每股收益（元/股）</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0.84</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0.58</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0.59</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42.37%</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0.97</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0.97</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40" w:hRule="atLeast"/>
        </w:trPr>
        <w:tc>
          <w:tcPr>
            <w:tcW w:w="1377" w:type="dxa"/>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left"/>
              <w:rPr>
                <w:rFonts w:ascii="宋体" w:hAnsi="宋体" w:eastAsia="宋体" w:cs="宋体"/>
                <w:sz w:val="18"/>
                <w:szCs w:val="18"/>
              </w:rPr>
            </w:pPr>
            <w:r>
              <w:rPr>
                <w:rFonts w:ascii="宋体" w:hAnsi="宋体" w:eastAsia="宋体" w:cs="宋体"/>
                <w:sz w:val="18"/>
                <w:szCs w:val="18"/>
              </w:rPr>
              <w:t>加权平均净资产收益率</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23.79%</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19.93%</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19.94%</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3.85%</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37.49%</w:t>
            </w:r>
          </w:p>
        </w:tc>
        <w:tc>
          <w:tcPr>
            <w:tcW w:w="1377"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37.48%</w:t>
            </w:r>
          </w:p>
        </w:tc>
      </w:tr>
    </w:tbl>
    <w:p>
      <w:pPr>
        <w:keepNext w:val="0"/>
        <w:keepLines w:val="0"/>
        <w:pageBreakBefore w:val="0"/>
        <w:kinsoku/>
        <w:wordWrap/>
        <w:overflowPunct/>
        <w:topLinePunct w:val="0"/>
        <w:autoSpaceDE/>
        <w:autoSpaceDN/>
        <w:bidi w:val="0"/>
        <w:adjustRightInd/>
        <w:snapToGrid/>
        <w:spacing w:line="312" w:lineRule="auto"/>
        <w:ind w:firstLine="420" w:firstLineChars="200"/>
        <w:jc w:val="left"/>
        <w:textAlignment w:val="auto"/>
        <w:rPr>
          <w:rFonts w:ascii="宋体" w:hAnsi="宋体" w:eastAsia="宋体" w:cs="宋体"/>
          <w:sz w:val="21"/>
          <w:szCs w:val="21"/>
        </w:rPr>
      </w:pPr>
      <w:r>
        <w:rPr>
          <w:rFonts w:ascii="宋体" w:hAnsi="宋体" w:eastAsia="宋体" w:cs="宋体"/>
          <w:sz w:val="21"/>
          <w:szCs w:val="21"/>
        </w:rPr>
        <w:t>会计政策变更的原因及会计差错更正的情况</w:t>
      </w:r>
    </w:p>
    <w:p>
      <w:pPr>
        <w:pStyle w:val="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12" w:lineRule="auto"/>
        <w:ind w:left="0" w:firstLine="420" w:firstLineChars="200"/>
        <w:textAlignment w:val="auto"/>
        <w:rPr>
          <w:rFonts w:hint="eastAsia" w:ascii="宋体" w:hAnsi="宋体" w:eastAsia="宋体" w:cs="宋体"/>
          <w:sz w:val="21"/>
          <w:szCs w:val="21"/>
        </w:rPr>
      </w:pPr>
      <w:r>
        <w:rPr>
          <w:rFonts w:hint="eastAsia" w:ascii="宋体" w:hAnsi="宋体" w:eastAsia="宋体" w:cs="宋体"/>
          <w:sz w:val="21"/>
          <w:szCs w:val="21"/>
        </w:rPr>
        <w:t>1</w:t>
      </w:r>
      <w:r>
        <w:rPr>
          <w:rFonts w:hint="eastAsia" w:ascii="宋体" w:hAnsi="宋体" w:cs="宋体"/>
          <w:sz w:val="21"/>
          <w:szCs w:val="21"/>
          <w:lang w:eastAsia="zh-CN"/>
        </w:rPr>
        <w:t>）</w:t>
      </w:r>
      <w:r>
        <w:rPr>
          <w:rFonts w:hint="eastAsia" w:ascii="宋体" w:hAnsi="宋体" w:eastAsia="宋体" w:cs="宋体"/>
          <w:sz w:val="21"/>
          <w:szCs w:val="21"/>
        </w:rPr>
        <w:t>公司自2023年1月1日起执行财政部颁布的《企业会计准则解释第16号》“关于单项交易产生的资产和负债相关的递延所得税不适用初始确认豁免的会计处理”规定，对在首次执行该规定的财务报表列报最早期间的期初至首次执行日之间发生的适用该规定的单项交易按该规定进行调整。对在首次执行该规定的财务报表列报最早期间的期初因适用该规定的单项交易而确认的租赁负债和使用权资产，以及确认的弃置义务相关预计负债和对应的相关资产，产生应纳税暂时性差异和可抵扣暂时性差异的，按照该规定和《企业会计准则第18号——所得税》的规定，将累积影响数调整财务报表列报最早期间的期初留存收益及其他相关财务报表项目。具体调整情况如下：</w:t>
      </w:r>
    </w:p>
    <w:tbl>
      <w:tblPr>
        <w:tblStyle w:val="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020"/>
        <w:gridCol w:w="2813"/>
        <w:gridCol w:w="14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4020" w:type="dxa"/>
          </w:tcPr>
          <w:p>
            <w:pPr>
              <w:pStyle w:val="2"/>
              <w:keepNext w:val="0"/>
              <w:keepLines w:val="0"/>
              <w:widowControl/>
              <w:suppressLineNumbers w:val="0"/>
              <w:spacing w:before="40" w:beforeAutospacing="0" w:after="40" w:afterAutospacing="0" w:line="240" w:lineRule="atLeast"/>
              <w:jc w:val="center"/>
              <w:rPr>
                <w:rFonts w:hint="eastAsia" w:ascii="宋体" w:hAnsi="宋体" w:eastAsia="宋体" w:cs="宋体"/>
                <w:sz w:val="21"/>
                <w:szCs w:val="21"/>
                <w:vertAlign w:val="baseline"/>
              </w:rPr>
            </w:pPr>
            <w:r>
              <w:rPr>
                <w:rFonts w:hint="eastAsia" w:ascii="宋体" w:hAnsi="宋体" w:eastAsia="宋体" w:cs="宋体"/>
                <w:sz w:val="21"/>
                <w:szCs w:val="21"/>
              </w:rPr>
              <w:t>受重要影响的报表项目</w:t>
            </w:r>
          </w:p>
        </w:tc>
        <w:tc>
          <w:tcPr>
            <w:tcW w:w="2813" w:type="dxa"/>
          </w:tcPr>
          <w:p>
            <w:pPr>
              <w:pStyle w:val="2"/>
              <w:keepNext w:val="0"/>
              <w:keepLines w:val="0"/>
              <w:widowControl/>
              <w:suppressLineNumbers w:val="0"/>
              <w:spacing w:before="40" w:beforeAutospacing="0" w:after="40" w:afterAutospacing="0" w:line="240" w:lineRule="atLeast"/>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rPr>
              <w:t>影响金额</w:t>
            </w:r>
            <w:r>
              <w:rPr>
                <w:rFonts w:hint="eastAsia" w:ascii="宋体" w:hAnsi="宋体" w:cs="宋体"/>
                <w:sz w:val="21"/>
                <w:szCs w:val="21"/>
                <w:lang w:eastAsia="zh-CN"/>
              </w:rPr>
              <w:t>（</w:t>
            </w:r>
            <w:r>
              <w:rPr>
                <w:rFonts w:hint="eastAsia" w:ascii="宋体" w:hAnsi="宋体" w:cs="宋体"/>
                <w:sz w:val="21"/>
                <w:szCs w:val="21"/>
                <w:lang w:val="en-US" w:eastAsia="zh-CN"/>
              </w:rPr>
              <w:t>元</w:t>
            </w:r>
            <w:bookmarkStart w:id="13" w:name="_GoBack"/>
            <w:bookmarkEnd w:id="13"/>
            <w:r>
              <w:rPr>
                <w:rFonts w:hint="eastAsia" w:ascii="宋体" w:hAnsi="宋体" w:cs="宋体"/>
                <w:sz w:val="21"/>
                <w:szCs w:val="21"/>
                <w:lang w:eastAsia="zh-CN"/>
              </w:rPr>
              <w:t>）</w:t>
            </w:r>
          </w:p>
        </w:tc>
        <w:tc>
          <w:tcPr>
            <w:tcW w:w="1406" w:type="dxa"/>
          </w:tcPr>
          <w:p>
            <w:pPr>
              <w:pStyle w:val="2"/>
              <w:keepNext w:val="0"/>
              <w:keepLines w:val="0"/>
              <w:widowControl/>
              <w:suppressLineNumbers w:val="0"/>
              <w:spacing w:before="40" w:beforeAutospacing="0" w:after="40" w:afterAutospacing="0" w:line="240" w:lineRule="atLeast"/>
              <w:rPr>
                <w:rFonts w:hint="eastAsia" w:ascii="宋体" w:hAnsi="宋体" w:eastAsia="宋体" w:cs="宋体"/>
                <w:sz w:val="21"/>
                <w:szCs w:val="21"/>
                <w:vertAlign w:val="baseline"/>
              </w:rPr>
            </w:pPr>
            <w:r>
              <w:rPr>
                <w:rFonts w:hint="eastAsia" w:ascii="宋体" w:hAnsi="宋体" w:eastAsia="宋体" w:cs="宋体"/>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4020" w:type="dxa"/>
          </w:tcPr>
          <w:p>
            <w:pPr>
              <w:pStyle w:val="2"/>
              <w:keepNext w:val="0"/>
              <w:keepLines w:val="0"/>
              <w:widowControl/>
              <w:suppressLineNumbers w:val="0"/>
              <w:spacing w:before="40" w:beforeAutospacing="0" w:after="40" w:afterAutospacing="0" w:line="240" w:lineRule="atLeast"/>
              <w:jc w:val="center"/>
              <w:rPr>
                <w:rFonts w:hint="eastAsia" w:ascii="宋体" w:hAnsi="宋体" w:eastAsia="宋体" w:cs="宋体"/>
                <w:sz w:val="21"/>
                <w:szCs w:val="21"/>
                <w:vertAlign w:val="baseline"/>
              </w:rPr>
            </w:pPr>
            <w:r>
              <w:rPr>
                <w:rFonts w:hint="eastAsia" w:ascii="宋体" w:hAnsi="宋体" w:eastAsia="宋体" w:cs="宋体"/>
                <w:sz w:val="21"/>
                <w:szCs w:val="21"/>
              </w:rPr>
              <w:t>2022年12月31日资产负债表项目</w:t>
            </w:r>
          </w:p>
        </w:tc>
        <w:tc>
          <w:tcPr>
            <w:tcW w:w="2813" w:type="dxa"/>
          </w:tcPr>
          <w:p>
            <w:pPr>
              <w:pStyle w:val="2"/>
              <w:keepNext w:val="0"/>
              <w:keepLines w:val="0"/>
              <w:widowControl/>
              <w:suppressLineNumbers w:val="0"/>
              <w:spacing w:before="40" w:beforeAutospacing="0" w:after="40" w:afterAutospacing="0" w:line="240" w:lineRule="atLeast"/>
              <w:jc w:val="center"/>
              <w:rPr>
                <w:rFonts w:hint="eastAsia" w:ascii="宋体" w:hAnsi="宋体" w:eastAsia="宋体" w:cs="宋体"/>
                <w:sz w:val="21"/>
                <w:szCs w:val="21"/>
              </w:rPr>
            </w:pPr>
          </w:p>
        </w:tc>
        <w:tc>
          <w:tcPr>
            <w:tcW w:w="1406" w:type="dxa"/>
          </w:tcPr>
          <w:p>
            <w:pPr>
              <w:pStyle w:val="2"/>
              <w:keepNext w:val="0"/>
              <w:keepLines w:val="0"/>
              <w:widowControl/>
              <w:suppressLineNumbers w:val="0"/>
              <w:spacing w:before="40" w:beforeAutospacing="0" w:after="40" w:afterAutospacing="0" w:line="240" w:lineRule="atLeast"/>
              <w:rPr>
                <w:rFonts w:hint="eastAsia"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4020" w:type="dxa"/>
          </w:tcPr>
          <w:p>
            <w:pPr>
              <w:pStyle w:val="2"/>
              <w:keepNext w:val="0"/>
              <w:keepLines w:val="0"/>
              <w:widowControl/>
              <w:suppressLineNumbers w:val="0"/>
              <w:spacing w:before="40" w:beforeAutospacing="0" w:after="40" w:afterAutospacing="0" w:line="240" w:lineRule="atLeast"/>
              <w:jc w:val="center"/>
              <w:rPr>
                <w:rFonts w:hint="eastAsia" w:ascii="宋体" w:hAnsi="宋体" w:eastAsia="宋体" w:cs="宋体"/>
                <w:sz w:val="21"/>
                <w:szCs w:val="21"/>
                <w:vertAlign w:val="baseline"/>
              </w:rPr>
            </w:pPr>
            <w:r>
              <w:rPr>
                <w:rFonts w:hint="eastAsia" w:ascii="宋体" w:hAnsi="宋体" w:eastAsia="宋体" w:cs="宋体"/>
                <w:sz w:val="21"/>
                <w:szCs w:val="21"/>
              </w:rPr>
              <w:t>递延所得税资产</w:t>
            </w:r>
          </w:p>
        </w:tc>
        <w:tc>
          <w:tcPr>
            <w:tcW w:w="2813" w:type="dxa"/>
          </w:tcPr>
          <w:p>
            <w:pPr>
              <w:pStyle w:val="2"/>
              <w:keepNext w:val="0"/>
              <w:keepLines w:val="0"/>
              <w:widowControl/>
              <w:suppressLineNumbers w:val="0"/>
              <w:spacing w:before="40" w:beforeAutospacing="0" w:after="40" w:afterAutospacing="0" w:line="240" w:lineRule="atLeast"/>
              <w:jc w:val="center"/>
              <w:rPr>
                <w:rFonts w:hint="eastAsia" w:ascii="宋体" w:hAnsi="宋体" w:eastAsia="宋体" w:cs="宋体"/>
                <w:sz w:val="21"/>
                <w:szCs w:val="21"/>
                <w:vertAlign w:val="baseline"/>
              </w:rPr>
            </w:pPr>
            <w:r>
              <w:rPr>
                <w:rFonts w:hint="eastAsia" w:ascii="宋体" w:hAnsi="宋体" w:eastAsia="宋体" w:cs="宋体"/>
                <w:sz w:val="21"/>
                <w:szCs w:val="21"/>
              </w:rPr>
              <w:t>864,937.44</w:t>
            </w:r>
          </w:p>
        </w:tc>
        <w:tc>
          <w:tcPr>
            <w:tcW w:w="1406" w:type="dxa"/>
          </w:tcPr>
          <w:p>
            <w:pPr>
              <w:pStyle w:val="2"/>
              <w:keepNext w:val="0"/>
              <w:keepLines w:val="0"/>
              <w:widowControl/>
              <w:suppressLineNumbers w:val="0"/>
              <w:spacing w:before="40" w:beforeAutospacing="0" w:after="40" w:afterAutospacing="0" w:line="240" w:lineRule="atLeast"/>
              <w:rPr>
                <w:rFonts w:hint="eastAsia" w:ascii="宋体" w:hAnsi="宋体" w:eastAsia="宋体" w:cs="宋体"/>
                <w:sz w:val="21"/>
                <w:szCs w:val="21"/>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4020" w:type="dxa"/>
          </w:tcPr>
          <w:p>
            <w:pPr>
              <w:pStyle w:val="2"/>
              <w:keepNext w:val="0"/>
              <w:keepLines w:val="0"/>
              <w:widowControl/>
              <w:suppressLineNumbers w:val="0"/>
              <w:spacing w:before="40" w:beforeAutospacing="0" w:after="40" w:afterAutospacing="0" w:line="240" w:lineRule="atLeast"/>
              <w:jc w:val="center"/>
              <w:rPr>
                <w:rFonts w:hint="eastAsia" w:ascii="宋体" w:hAnsi="宋体" w:eastAsia="宋体" w:cs="宋体"/>
                <w:sz w:val="21"/>
                <w:szCs w:val="21"/>
                <w:vertAlign w:val="baseline"/>
              </w:rPr>
            </w:pPr>
            <w:r>
              <w:rPr>
                <w:rFonts w:hint="eastAsia" w:ascii="宋体" w:hAnsi="宋体" w:eastAsia="宋体" w:cs="宋体"/>
                <w:sz w:val="21"/>
                <w:szCs w:val="21"/>
              </w:rPr>
              <w:t>递延所得税负债</w:t>
            </w:r>
          </w:p>
        </w:tc>
        <w:tc>
          <w:tcPr>
            <w:tcW w:w="2813" w:type="dxa"/>
          </w:tcPr>
          <w:p>
            <w:pPr>
              <w:pStyle w:val="2"/>
              <w:keepNext w:val="0"/>
              <w:keepLines w:val="0"/>
              <w:widowControl/>
              <w:suppressLineNumbers w:val="0"/>
              <w:spacing w:before="40" w:beforeAutospacing="0" w:after="40" w:afterAutospacing="0" w:line="240" w:lineRule="atLeast"/>
              <w:jc w:val="center"/>
              <w:rPr>
                <w:rFonts w:hint="eastAsia" w:ascii="宋体" w:hAnsi="宋体" w:eastAsia="宋体" w:cs="宋体"/>
                <w:sz w:val="21"/>
                <w:szCs w:val="21"/>
                <w:vertAlign w:val="baseline"/>
              </w:rPr>
            </w:pPr>
            <w:r>
              <w:rPr>
                <w:rFonts w:hint="eastAsia" w:ascii="宋体" w:hAnsi="宋体" w:eastAsia="宋体" w:cs="宋体"/>
                <w:sz w:val="21"/>
                <w:szCs w:val="21"/>
              </w:rPr>
              <w:t>529,542.60</w:t>
            </w:r>
          </w:p>
        </w:tc>
        <w:tc>
          <w:tcPr>
            <w:tcW w:w="1406" w:type="dxa"/>
          </w:tcPr>
          <w:p>
            <w:pPr>
              <w:pStyle w:val="2"/>
              <w:keepNext w:val="0"/>
              <w:keepLines w:val="0"/>
              <w:widowControl/>
              <w:suppressLineNumbers w:val="0"/>
              <w:spacing w:before="40" w:beforeAutospacing="0" w:after="40" w:afterAutospacing="0" w:line="240" w:lineRule="atLeast"/>
              <w:rPr>
                <w:rFonts w:hint="eastAsia" w:ascii="宋体" w:hAnsi="宋体" w:eastAsia="宋体" w:cs="宋体"/>
                <w:sz w:val="21"/>
                <w:szCs w:val="21"/>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4020" w:type="dxa"/>
          </w:tcPr>
          <w:p>
            <w:pPr>
              <w:pStyle w:val="2"/>
              <w:keepNext w:val="0"/>
              <w:keepLines w:val="0"/>
              <w:widowControl/>
              <w:suppressLineNumbers w:val="0"/>
              <w:spacing w:before="40" w:beforeAutospacing="0" w:after="40" w:afterAutospacing="0" w:line="240" w:lineRule="atLeast"/>
              <w:jc w:val="center"/>
              <w:rPr>
                <w:rFonts w:hint="eastAsia" w:ascii="宋体" w:hAnsi="宋体" w:eastAsia="宋体" w:cs="宋体"/>
                <w:sz w:val="21"/>
                <w:szCs w:val="21"/>
              </w:rPr>
            </w:pPr>
            <w:r>
              <w:rPr>
                <w:rFonts w:hint="eastAsia" w:ascii="宋体" w:hAnsi="宋体" w:eastAsia="宋体" w:cs="宋体"/>
                <w:sz w:val="21"/>
                <w:szCs w:val="21"/>
              </w:rPr>
              <w:t>盈余公积</w:t>
            </w:r>
          </w:p>
        </w:tc>
        <w:tc>
          <w:tcPr>
            <w:tcW w:w="2813" w:type="dxa"/>
          </w:tcPr>
          <w:p>
            <w:pPr>
              <w:pStyle w:val="2"/>
              <w:keepNext w:val="0"/>
              <w:keepLines w:val="0"/>
              <w:widowControl/>
              <w:suppressLineNumbers w:val="0"/>
              <w:spacing w:before="40" w:beforeAutospacing="0" w:after="40" w:afterAutospacing="0" w:line="240" w:lineRule="atLeast"/>
              <w:jc w:val="center"/>
              <w:rPr>
                <w:rFonts w:hint="eastAsia" w:ascii="宋体" w:hAnsi="宋体" w:eastAsia="宋体" w:cs="宋体"/>
                <w:sz w:val="21"/>
                <w:szCs w:val="21"/>
              </w:rPr>
            </w:pPr>
            <w:r>
              <w:rPr>
                <w:rFonts w:hint="eastAsia" w:ascii="宋体" w:hAnsi="宋体" w:eastAsia="宋体" w:cs="宋体"/>
                <w:sz w:val="21"/>
                <w:szCs w:val="21"/>
              </w:rPr>
              <w:t>3,814.77</w:t>
            </w:r>
          </w:p>
        </w:tc>
        <w:tc>
          <w:tcPr>
            <w:tcW w:w="1406" w:type="dxa"/>
          </w:tcPr>
          <w:p>
            <w:pPr>
              <w:pStyle w:val="2"/>
              <w:keepNext w:val="0"/>
              <w:keepLines w:val="0"/>
              <w:widowControl/>
              <w:suppressLineNumbers w:val="0"/>
              <w:spacing w:before="40" w:beforeAutospacing="0" w:after="40" w:afterAutospacing="0" w:line="240" w:lineRule="atLeast"/>
              <w:rPr>
                <w:rFonts w:hint="eastAsia" w:ascii="宋体" w:hAnsi="宋体" w:eastAsia="宋体" w:cs="宋体"/>
                <w:sz w:val="21"/>
                <w:szCs w:val="21"/>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4020" w:type="dxa"/>
          </w:tcPr>
          <w:p>
            <w:pPr>
              <w:pStyle w:val="2"/>
              <w:keepNext w:val="0"/>
              <w:keepLines w:val="0"/>
              <w:widowControl/>
              <w:suppressLineNumbers w:val="0"/>
              <w:spacing w:before="40" w:beforeAutospacing="0" w:after="40" w:afterAutospacing="0" w:line="240" w:lineRule="atLeast"/>
              <w:jc w:val="center"/>
              <w:rPr>
                <w:rFonts w:hint="eastAsia" w:ascii="宋体" w:hAnsi="宋体" w:eastAsia="宋体" w:cs="宋体"/>
                <w:sz w:val="21"/>
                <w:szCs w:val="21"/>
              </w:rPr>
            </w:pPr>
            <w:r>
              <w:rPr>
                <w:rFonts w:hint="eastAsia" w:ascii="宋体" w:hAnsi="宋体" w:eastAsia="宋体" w:cs="宋体"/>
                <w:sz w:val="21"/>
                <w:szCs w:val="21"/>
              </w:rPr>
              <w:t>未分配利润</w:t>
            </w:r>
          </w:p>
        </w:tc>
        <w:tc>
          <w:tcPr>
            <w:tcW w:w="2813" w:type="dxa"/>
          </w:tcPr>
          <w:p>
            <w:pPr>
              <w:pStyle w:val="2"/>
              <w:keepNext w:val="0"/>
              <w:keepLines w:val="0"/>
              <w:widowControl/>
              <w:suppressLineNumbers w:val="0"/>
              <w:spacing w:before="40" w:beforeAutospacing="0" w:after="40" w:afterAutospacing="0" w:line="240" w:lineRule="atLeast"/>
              <w:jc w:val="center"/>
              <w:rPr>
                <w:rFonts w:hint="eastAsia" w:ascii="宋体" w:hAnsi="宋体" w:eastAsia="宋体" w:cs="宋体"/>
                <w:sz w:val="21"/>
                <w:szCs w:val="21"/>
              </w:rPr>
            </w:pPr>
            <w:r>
              <w:rPr>
                <w:rFonts w:hint="eastAsia" w:ascii="宋体" w:hAnsi="宋体" w:eastAsia="宋体" w:cs="宋体"/>
                <w:sz w:val="21"/>
                <w:szCs w:val="21"/>
              </w:rPr>
              <w:t>309,057.70</w:t>
            </w:r>
          </w:p>
        </w:tc>
        <w:tc>
          <w:tcPr>
            <w:tcW w:w="1406" w:type="dxa"/>
          </w:tcPr>
          <w:p>
            <w:pPr>
              <w:pStyle w:val="2"/>
              <w:keepNext w:val="0"/>
              <w:keepLines w:val="0"/>
              <w:widowControl/>
              <w:suppressLineNumbers w:val="0"/>
              <w:spacing w:before="40" w:beforeAutospacing="0" w:after="40" w:afterAutospacing="0" w:line="240" w:lineRule="atLeast"/>
              <w:rPr>
                <w:rFonts w:hint="eastAsia" w:ascii="宋体" w:hAnsi="宋体" w:eastAsia="宋体" w:cs="宋体"/>
                <w:sz w:val="21"/>
                <w:szCs w:val="21"/>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4020" w:type="dxa"/>
          </w:tcPr>
          <w:p>
            <w:pPr>
              <w:pStyle w:val="2"/>
              <w:keepNext w:val="0"/>
              <w:keepLines w:val="0"/>
              <w:widowControl/>
              <w:suppressLineNumbers w:val="0"/>
              <w:spacing w:before="40" w:beforeAutospacing="0" w:after="40" w:afterAutospacing="0" w:line="240" w:lineRule="atLeast"/>
              <w:jc w:val="center"/>
              <w:rPr>
                <w:rFonts w:hint="eastAsia" w:ascii="宋体" w:hAnsi="宋体" w:eastAsia="宋体" w:cs="宋体"/>
                <w:sz w:val="21"/>
                <w:szCs w:val="21"/>
                <w:vertAlign w:val="baseline"/>
              </w:rPr>
            </w:pPr>
            <w:r>
              <w:rPr>
                <w:rFonts w:hint="eastAsia" w:ascii="宋体" w:hAnsi="宋体" w:eastAsia="宋体" w:cs="宋体"/>
                <w:sz w:val="21"/>
                <w:szCs w:val="21"/>
              </w:rPr>
              <w:t>2022年度利润表项目</w:t>
            </w:r>
          </w:p>
        </w:tc>
        <w:tc>
          <w:tcPr>
            <w:tcW w:w="2813" w:type="dxa"/>
          </w:tcPr>
          <w:p>
            <w:pPr>
              <w:pStyle w:val="2"/>
              <w:keepNext w:val="0"/>
              <w:keepLines w:val="0"/>
              <w:widowControl/>
              <w:suppressLineNumbers w:val="0"/>
              <w:spacing w:before="40" w:beforeAutospacing="0" w:after="40" w:afterAutospacing="0" w:line="240" w:lineRule="atLeast"/>
              <w:jc w:val="center"/>
              <w:rPr>
                <w:rFonts w:hint="eastAsia" w:ascii="宋体" w:hAnsi="宋体" w:eastAsia="宋体" w:cs="宋体"/>
                <w:sz w:val="21"/>
                <w:szCs w:val="21"/>
              </w:rPr>
            </w:pPr>
          </w:p>
        </w:tc>
        <w:tc>
          <w:tcPr>
            <w:tcW w:w="1406" w:type="dxa"/>
          </w:tcPr>
          <w:p>
            <w:pPr>
              <w:pStyle w:val="2"/>
              <w:keepNext w:val="0"/>
              <w:keepLines w:val="0"/>
              <w:widowControl/>
              <w:suppressLineNumbers w:val="0"/>
              <w:spacing w:before="40" w:beforeAutospacing="0" w:after="40" w:afterAutospacing="0" w:line="240" w:lineRule="atLeast"/>
              <w:rPr>
                <w:rFonts w:hint="eastAsia"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4020" w:type="dxa"/>
          </w:tcPr>
          <w:p>
            <w:pPr>
              <w:pStyle w:val="2"/>
              <w:keepNext w:val="0"/>
              <w:keepLines w:val="0"/>
              <w:widowControl/>
              <w:suppressLineNumbers w:val="0"/>
              <w:spacing w:before="40" w:beforeAutospacing="0" w:after="40" w:afterAutospacing="0" w:line="240" w:lineRule="atLeast"/>
              <w:jc w:val="center"/>
              <w:rPr>
                <w:rFonts w:hint="eastAsia" w:ascii="宋体" w:hAnsi="宋体" w:eastAsia="宋体" w:cs="宋体"/>
                <w:sz w:val="21"/>
                <w:szCs w:val="21"/>
              </w:rPr>
            </w:pPr>
            <w:r>
              <w:rPr>
                <w:rFonts w:hint="eastAsia" w:ascii="宋体" w:hAnsi="宋体" w:eastAsia="宋体" w:cs="宋体"/>
                <w:sz w:val="21"/>
                <w:szCs w:val="21"/>
              </w:rPr>
              <w:t>所得税费用</w:t>
            </w:r>
          </w:p>
        </w:tc>
        <w:tc>
          <w:tcPr>
            <w:tcW w:w="2813" w:type="dxa"/>
          </w:tcPr>
          <w:p>
            <w:pPr>
              <w:pStyle w:val="2"/>
              <w:keepNext w:val="0"/>
              <w:keepLines w:val="0"/>
              <w:widowControl/>
              <w:suppressLineNumbers w:val="0"/>
              <w:spacing w:before="40" w:beforeAutospacing="0" w:after="40" w:afterAutospacing="0" w:line="240" w:lineRule="atLeast"/>
              <w:jc w:val="center"/>
              <w:rPr>
                <w:rFonts w:hint="eastAsia" w:ascii="宋体" w:hAnsi="宋体" w:eastAsia="宋体" w:cs="宋体"/>
                <w:sz w:val="21"/>
                <w:szCs w:val="21"/>
              </w:rPr>
            </w:pPr>
            <w:r>
              <w:rPr>
                <w:rFonts w:hint="eastAsia" w:ascii="宋体" w:hAnsi="宋体" w:eastAsia="宋体" w:cs="宋体"/>
                <w:sz w:val="21"/>
                <w:szCs w:val="21"/>
              </w:rPr>
              <w:t>-412,242.43</w:t>
            </w:r>
          </w:p>
        </w:tc>
        <w:tc>
          <w:tcPr>
            <w:tcW w:w="1406" w:type="dxa"/>
          </w:tcPr>
          <w:p>
            <w:pPr>
              <w:pStyle w:val="2"/>
              <w:keepNext w:val="0"/>
              <w:keepLines w:val="0"/>
              <w:widowControl/>
              <w:suppressLineNumbers w:val="0"/>
              <w:spacing w:before="40" w:beforeAutospacing="0" w:after="40" w:afterAutospacing="0" w:line="240" w:lineRule="atLeast"/>
              <w:rPr>
                <w:rFonts w:hint="eastAsia" w:ascii="宋体" w:hAnsi="宋体" w:eastAsia="宋体" w:cs="宋体"/>
                <w:sz w:val="21"/>
                <w:szCs w:val="21"/>
                <w:vertAlign w:val="baseline"/>
              </w:rPr>
            </w:pPr>
          </w:p>
        </w:tc>
      </w:tr>
    </w:tbl>
    <w:p>
      <w:pPr>
        <w:pStyle w:val="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12" w:lineRule="auto"/>
        <w:ind w:left="0" w:firstLine="420" w:firstLineChars="200"/>
        <w:jc w:val="left"/>
        <w:textAlignment w:val="auto"/>
        <w:rPr>
          <w:rFonts w:hint="eastAsia" w:ascii="宋体" w:hAnsi="宋体" w:eastAsia="宋体" w:cs="宋体"/>
          <w:sz w:val="21"/>
          <w:szCs w:val="21"/>
        </w:rPr>
      </w:pPr>
      <w:r>
        <w:rPr>
          <w:rFonts w:hint="eastAsia" w:ascii="宋体" w:hAnsi="宋体" w:eastAsia="宋体" w:cs="宋体"/>
          <w:sz w:val="21"/>
          <w:szCs w:val="21"/>
        </w:rPr>
        <w:t>2</w:t>
      </w:r>
      <w:r>
        <w:rPr>
          <w:rFonts w:hint="eastAsia" w:ascii="宋体" w:hAnsi="宋体" w:cs="宋体"/>
          <w:sz w:val="21"/>
          <w:szCs w:val="21"/>
          <w:lang w:eastAsia="zh-CN"/>
        </w:rPr>
        <w:t>）</w:t>
      </w:r>
      <w:r>
        <w:rPr>
          <w:rFonts w:hint="eastAsia" w:ascii="宋体" w:hAnsi="宋体" w:eastAsia="宋体" w:cs="宋体"/>
          <w:sz w:val="21"/>
          <w:szCs w:val="21"/>
        </w:rPr>
        <w:t>公司自2023年起提前执行财政部颁布的《企业会计准则解释第17号》“关于售后租回交易的会计处理”规定，该项会计政策变更对公司财务报表无影响。</w:t>
      </w:r>
    </w:p>
    <w:p>
      <w:pPr>
        <w:keepNext/>
        <w:keepLines/>
        <w:spacing w:before="300" w:after="300" w:line="280" w:lineRule="exact"/>
        <w:jc w:val="left"/>
        <w:outlineLvl w:val="3"/>
        <w:rPr>
          <w:rFonts w:ascii="宋体" w:hAnsi="宋体" w:eastAsia="宋体" w:cs="宋体"/>
          <w:b/>
          <w:bCs/>
          <w:sz w:val="18"/>
          <w:szCs w:val="18"/>
        </w:rPr>
      </w:pPr>
      <w:bookmarkStart w:id="6" w:name="_Toc988895"/>
      <w:r>
        <w:rPr>
          <w:rFonts w:ascii="宋体" w:hAnsi="宋体" w:eastAsia="宋体" w:cs="宋体"/>
          <w:b/>
          <w:bCs/>
          <w:sz w:val="18"/>
          <w:szCs w:val="18"/>
        </w:rPr>
        <w:t>（2） 分季度主要会计数据</w:t>
      </w:r>
      <w:bookmarkEnd w:id="6"/>
    </w:p>
    <w:p>
      <w:pPr>
        <w:spacing w:before="120" w:after="120" w:line="240" w:lineRule="exact"/>
        <w:jc w:val="right"/>
        <w:rPr>
          <w:rFonts w:ascii="宋体" w:hAnsi="宋体" w:eastAsia="宋体" w:cs="宋体"/>
          <w:sz w:val="18"/>
          <w:szCs w:val="18"/>
        </w:rPr>
      </w:pPr>
      <w:r>
        <w:rPr>
          <w:rFonts w:ascii="宋体" w:hAnsi="宋体" w:eastAsia="宋体" w:cs="宋体"/>
          <w:sz w:val="18"/>
          <w:szCs w:val="18"/>
        </w:rPr>
        <w:t>单位：元</w:t>
      </w:r>
    </w:p>
    <w:tbl>
      <w:tblPr>
        <w:tblStyle w:val="3"/>
        <w:tblW w:w="9640" w:type="dxa"/>
        <w:tblInd w:w="0" w:type="dxa"/>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fixed"/>
        <w:tblCellMar>
          <w:top w:w="0" w:type="dxa"/>
          <w:left w:w="108" w:type="dxa"/>
          <w:bottom w:w="0" w:type="dxa"/>
          <w:right w:w="108" w:type="dxa"/>
        </w:tblCellMar>
      </w:tblPr>
      <w:tblGrid>
        <w:gridCol w:w="1928"/>
        <w:gridCol w:w="1928"/>
        <w:gridCol w:w="1928"/>
        <w:gridCol w:w="1928"/>
        <w:gridCol w:w="1928"/>
      </w:tblGrid>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40" w:hRule="atLeast"/>
        </w:trPr>
        <w:tc>
          <w:tcPr>
            <w:tcW w:w="1928" w:type="dxa"/>
            <w:tcBorders>
              <w:top w:val="single" w:color="auto" w:sz="2" w:space="0"/>
              <w:left w:val="single" w:color="auto" w:sz="2" w:space="0"/>
              <w:bottom w:val="single" w:color="auto" w:sz="2" w:space="0"/>
              <w:right w:val="single" w:color="auto" w:sz="2" w:space="0"/>
            </w:tcBorders>
            <w:shd w:val="clear" w:color="auto" w:fill="D3D3D3"/>
            <w:vAlign w:val="center"/>
          </w:tcPr>
          <w:p/>
        </w:tc>
        <w:tc>
          <w:tcPr>
            <w:tcW w:w="1928" w:type="dxa"/>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center"/>
              <w:rPr>
                <w:rFonts w:ascii="宋体" w:hAnsi="宋体" w:eastAsia="宋体" w:cs="宋体"/>
                <w:sz w:val="18"/>
                <w:szCs w:val="18"/>
              </w:rPr>
            </w:pPr>
            <w:r>
              <w:rPr>
                <w:rFonts w:ascii="宋体" w:hAnsi="宋体" w:eastAsia="宋体" w:cs="宋体"/>
                <w:sz w:val="18"/>
                <w:szCs w:val="18"/>
              </w:rPr>
              <w:t>第一季度</w:t>
            </w:r>
          </w:p>
        </w:tc>
        <w:tc>
          <w:tcPr>
            <w:tcW w:w="1928" w:type="dxa"/>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center"/>
              <w:rPr>
                <w:rFonts w:ascii="宋体" w:hAnsi="宋体" w:eastAsia="宋体" w:cs="宋体"/>
                <w:sz w:val="18"/>
                <w:szCs w:val="18"/>
              </w:rPr>
            </w:pPr>
            <w:r>
              <w:rPr>
                <w:rFonts w:ascii="宋体" w:hAnsi="宋体" w:eastAsia="宋体" w:cs="宋体"/>
                <w:sz w:val="18"/>
                <w:szCs w:val="18"/>
              </w:rPr>
              <w:t>第二季度</w:t>
            </w:r>
          </w:p>
        </w:tc>
        <w:tc>
          <w:tcPr>
            <w:tcW w:w="1928" w:type="dxa"/>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center"/>
              <w:rPr>
                <w:rFonts w:ascii="宋体" w:hAnsi="宋体" w:eastAsia="宋体" w:cs="宋体"/>
                <w:sz w:val="18"/>
                <w:szCs w:val="18"/>
              </w:rPr>
            </w:pPr>
            <w:r>
              <w:rPr>
                <w:rFonts w:ascii="宋体" w:hAnsi="宋体" w:eastAsia="宋体" w:cs="宋体"/>
                <w:sz w:val="18"/>
                <w:szCs w:val="18"/>
              </w:rPr>
              <w:t>第三季度</w:t>
            </w:r>
          </w:p>
        </w:tc>
        <w:tc>
          <w:tcPr>
            <w:tcW w:w="1928" w:type="dxa"/>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center"/>
              <w:rPr>
                <w:rFonts w:ascii="宋体" w:hAnsi="宋体" w:eastAsia="宋体" w:cs="宋体"/>
                <w:sz w:val="18"/>
                <w:szCs w:val="18"/>
              </w:rPr>
            </w:pPr>
            <w:r>
              <w:rPr>
                <w:rFonts w:ascii="宋体" w:hAnsi="宋体" w:eastAsia="宋体" w:cs="宋体"/>
                <w:sz w:val="18"/>
                <w:szCs w:val="18"/>
              </w:rPr>
              <w:t>第四季度</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40" w:hRule="atLeast"/>
        </w:trPr>
        <w:tc>
          <w:tcPr>
            <w:tcW w:w="1928" w:type="dxa"/>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left"/>
              <w:rPr>
                <w:rFonts w:ascii="宋体" w:hAnsi="宋体" w:eastAsia="宋体" w:cs="宋体"/>
                <w:sz w:val="18"/>
                <w:szCs w:val="18"/>
              </w:rPr>
            </w:pPr>
            <w:r>
              <w:rPr>
                <w:rFonts w:ascii="宋体" w:hAnsi="宋体" w:eastAsia="宋体" w:cs="宋体"/>
                <w:sz w:val="18"/>
                <w:szCs w:val="18"/>
              </w:rPr>
              <w:t>营业收入</w:t>
            </w:r>
          </w:p>
        </w:tc>
        <w:tc>
          <w:tcPr>
            <w:tcW w:w="1928"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1,111,734,656.89</w:t>
            </w:r>
          </w:p>
        </w:tc>
        <w:tc>
          <w:tcPr>
            <w:tcW w:w="1928"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2,151,140,307.88</w:t>
            </w:r>
          </w:p>
        </w:tc>
        <w:tc>
          <w:tcPr>
            <w:tcW w:w="1928"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2,468,206,817.52</w:t>
            </w:r>
          </w:p>
        </w:tc>
        <w:tc>
          <w:tcPr>
            <w:tcW w:w="1928"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3,331,776,721.59</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40" w:hRule="atLeast"/>
        </w:trPr>
        <w:tc>
          <w:tcPr>
            <w:tcW w:w="1928" w:type="dxa"/>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left"/>
              <w:rPr>
                <w:rFonts w:ascii="宋体" w:hAnsi="宋体" w:eastAsia="宋体" w:cs="宋体"/>
                <w:sz w:val="18"/>
                <w:szCs w:val="18"/>
              </w:rPr>
            </w:pPr>
            <w:r>
              <w:rPr>
                <w:rFonts w:ascii="宋体" w:hAnsi="宋体" w:eastAsia="宋体" w:cs="宋体"/>
                <w:sz w:val="18"/>
                <w:szCs w:val="18"/>
              </w:rPr>
              <w:t>归属于上市公司股东的净利润</w:t>
            </w:r>
          </w:p>
        </w:tc>
        <w:tc>
          <w:tcPr>
            <w:tcW w:w="1928"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74,532,065.50</w:t>
            </w:r>
          </w:p>
        </w:tc>
        <w:tc>
          <w:tcPr>
            <w:tcW w:w="1928"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214,128,953.37</w:t>
            </w:r>
          </w:p>
        </w:tc>
        <w:tc>
          <w:tcPr>
            <w:tcW w:w="1928"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168,409,951.51</w:t>
            </w:r>
          </w:p>
        </w:tc>
        <w:tc>
          <w:tcPr>
            <w:tcW w:w="1928"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232,353,347.00</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40" w:hRule="atLeast"/>
        </w:trPr>
        <w:tc>
          <w:tcPr>
            <w:tcW w:w="1928" w:type="dxa"/>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left"/>
              <w:rPr>
                <w:rFonts w:ascii="宋体" w:hAnsi="宋体" w:eastAsia="宋体" w:cs="宋体"/>
                <w:sz w:val="18"/>
                <w:szCs w:val="18"/>
              </w:rPr>
            </w:pPr>
            <w:r>
              <w:rPr>
                <w:rFonts w:ascii="宋体" w:hAnsi="宋体" w:eastAsia="宋体" w:cs="宋体"/>
                <w:sz w:val="18"/>
                <w:szCs w:val="18"/>
              </w:rPr>
              <w:t>归属于上市公司股东的扣除非经常性损益的净利润</w:t>
            </w:r>
          </w:p>
        </w:tc>
        <w:tc>
          <w:tcPr>
            <w:tcW w:w="1928"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58,100,032.37</w:t>
            </w:r>
          </w:p>
        </w:tc>
        <w:tc>
          <w:tcPr>
            <w:tcW w:w="1928"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160,224,132.87</w:t>
            </w:r>
          </w:p>
        </w:tc>
        <w:tc>
          <w:tcPr>
            <w:tcW w:w="1928"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155,603,791.26</w:t>
            </w:r>
          </w:p>
        </w:tc>
        <w:tc>
          <w:tcPr>
            <w:tcW w:w="1928"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209,498,935.21</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40" w:hRule="atLeast"/>
        </w:trPr>
        <w:tc>
          <w:tcPr>
            <w:tcW w:w="1928" w:type="dxa"/>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left"/>
              <w:rPr>
                <w:rFonts w:ascii="宋体" w:hAnsi="宋体" w:eastAsia="宋体" w:cs="宋体"/>
                <w:sz w:val="18"/>
                <w:szCs w:val="18"/>
              </w:rPr>
            </w:pPr>
            <w:r>
              <w:rPr>
                <w:rFonts w:ascii="宋体" w:hAnsi="宋体" w:eastAsia="宋体" w:cs="宋体"/>
                <w:sz w:val="18"/>
                <w:szCs w:val="18"/>
              </w:rPr>
              <w:t>经营活动产生的现金流量净额</w:t>
            </w:r>
          </w:p>
        </w:tc>
        <w:tc>
          <w:tcPr>
            <w:tcW w:w="1928"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-78,766,114.75</w:t>
            </w:r>
          </w:p>
        </w:tc>
        <w:tc>
          <w:tcPr>
            <w:tcW w:w="1928"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576,764,368.98</w:t>
            </w:r>
          </w:p>
        </w:tc>
        <w:tc>
          <w:tcPr>
            <w:tcW w:w="1928"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376,130,826.12</w:t>
            </w:r>
          </w:p>
        </w:tc>
        <w:tc>
          <w:tcPr>
            <w:tcW w:w="1928"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1,036,210,676.67</w:t>
            </w:r>
          </w:p>
        </w:tc>
      </w:tr>
    </w:tbl>
    <w:p>
      <w:pPr>
        <w:spacing w:before="100" w:after="100" w:line="240" w:lineRule="exact"/>
        <w:jc w:val="left"/>
        <w:rPr>
          <w:rFonts w:ascii="宋体" w:hAnsi="宋体" w:eastAsia="宋体" w:cs="宋体"/>
          <w:sz w:val="18"/>
          <w:szCs w:val="18"/>
        </w:rPr>
      </w:pPr>
      <w:r>
        <w:rPr>
          <w:rFonts w:ascii="宋体" w:hAnsi="宋体" w:eastAsia="宋体" w:cs="宋体"/>
          <w:sz w:val="18"/>
          <w:szCs w:val="18"/>
        </w:rPr>
        <w:t>上述财务指标或其加总数是否与公司已披露季度报告、半年度报告相关财务指标存在重大差异</w:t>
      </w:r>
    </w:p>
    <w:p>
      <w:pPr>
        <w:spacing w:before="100" w:after="100" w:line="240" w:lineRule="exact"/>
        <w:jc w:val="left"/>
        <w:rPr>
          <w:rFonts w:ascii="宋体" w:hAnsi="宋体" w:eastAsia="宋体" w:cs="宋体"/>
          <w:sz w:val="18"/>
          <w:szCs w:val="18"/>
        </w:rPr>
      </w:pPr>
      <w:r>
        <w:rPr>
          <w:rFonts w:ascii="宋体" w:hAnsi="宋体" w:eastAsia="宋体" w:cs="宋体"/>
          <w:sz w:val="18"/>
          <w:szCs w:val="18"/>
        </w:rPr>
        <w:t xml:space="preserve">□是 </w:t>
      </w:r>
      <w:r>
        <w:rPr>
          <w:rFonts w:ascii="宋体" w:hAnsi="宋体" w:eastAsia="宋体" w:cs="宋体"/>
          <w:sz w:val="18"/>
          <w:szCs w:val="18"/>
        </w:rPr>
        <w:sym w:font="Wingdings 2" w:char="F052"/>
      </w:r>
      <w:r>
        <w:rPr>
          <w:rFonts w:ascii="宋体" w:hAnsi="宋体" w:eastAsia="宋体" w:cs="宋体"/>
          <w:sz w:val="18"/>
          <w:szCs w:val="18"/>
        </w:rPr>
        <w:t>否</w:t>
      </w:r>
    </w:p>
    <w:p>
      <w:pPr>
        <w:keepNext/>
        <w:keepLines/>
        <w:spacing w:before="300" w:after="300" w:line="280" w:lineRule="exact"/>
        <w:jc w:val="left"/>
        <w:outlineLvl w:val="2"/>
        <w:rPr>
          <w:rFonts w:ascii="宋体" w:hAnsi="宋体" w:eastAsia="宋体" w:cs="宋体"/>
          <w:b/>
          <w:bCs/>
          <w:sz w:val="21"/>
          <w:szCs w:val="21"/>
        </w:rPr>
      </w:pPr>
      <w:bookmarkStart w:id="7" w:name="_Toc988896"/>
      <w:r>
        <w:rPr>
          <w:rFonts w:ascii="宋体" w:hAnsi="宋体" w:eastAsia="宋体" w:cs="宋体"/>
          <w:b/>
          <w:bCs/>
          <w:sz w:val="21"/>
          <w:szCs w:val="21"/>
        </w:rPr>
        <w:t>4、股本及股东情况</w:t>
      </w:r>
      <w:bookmarkEnd w:id="7"/>
    </w:p>
    <w:p>
      <w:pPr>
        <w:keepNext/>
        <w:keepLines/>
        <w:spacing w:before="300" w:after="300" w:line="280" w:lineRule="exact"/>
        <w:jc w:val="left"/>
        <w:outlineLvl w:val="3"/>
        <w:rPr>
          <w:rFonts w:ascii="宋体" w:hAnsi="宋体" w:eastAsia="宋体" w:cs="宋体"/>
          <w:b/>
          <w:bCs/>
          <w:sz w:val="18"/>
          <w:szCs w:val="18"/>
        </w:rPr>
      </w:pPr>
      <w:bookmarkStart w:id="8" w:name="_Toc988897"/>
      <w:r>
        <w:rPr>
          <w:rFonts w:ascii="宋体" w:hAnsi="宋体" w:eastAsia="宋体" w:cs="宋体"/>
          <w:b/>
          <w:bCs/>
          <w:sz w:val="18"/>
          <w:szCs w:val="18"/>
        </w:rPr>
        <w:t>（1） 普通股股东和表决权恢复的优先股股东数量及前10名股东持股情况表</w:t>
      </w:r>
      <w:bookmarkEnd w:id="8"/>
    </w:p>
    <w:p>
      <w:pPr>
        <w:spacing w:before="40" w:after="40" w:line="240" w:lineRule="exact"/>
        <w:jc w:val="right"/>
        <w:rPr>
          <w:rFonts w:ascii="宋体" w:hAnsi="宋体" w:eastAsia="宋体" w:cs="宋体"/>
          <w:sz w:val="18"/>
          <w:szCs w:val="18"/>
        </w:rPr>
      </w:pPr>
      <w:r>
        <w:rPr>
          <w:rFonts w:ascii="宋体" w:hAnsi="宋体" w:eastAsia="宋体" w:cs="宋体"/>
          <w:sz w:val="18"/>
          <w:szCs w:val="18"/>
        </w:rPr>
        <w:t>单位：股</w:t>
      </w:r>
    </w:p>
    <w:tbl>
      <w:tblPr>
        <w:tblStyle w:val="3"/>
        <w:tblW w:w="9639" w:type="dxa"/>
        <w:tblInd w:w="0" w:type="dxa"/>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fixed"/>
        <w:tblCellMar>
          <w:top w:w="0" w:type="dxa"/>
          <w:left w:w="108" w:type="dxa"/>
          <w:bottom w:w="0" w:type="dxa"/>
          <w:right w:w="108" w:type="dxa"/>
        </w:tblCellMar>
      </w:tblPr>
      <w:tblGrid>
        <w:gridCol w:w="1071"/>
        <w:gridCol w:w="1071"/>
        <w:gridCol w:w="1071"/>
        <w:gridCol w:w="1071"/>
        <w:gridCol w:w="1071"/>
        <w:gridCol w:w="1071"/>
        <w:gridCol w:w="1071"/>
        <w:gridCol w:w="1071"/>
        <w:gridCol w:w="1071"/>
      </w:tblGrid>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40" w:hRule="atLeast"/>
        </w:trPr>
        <w:tc>
          <w:tcPr>
            <w:tcW w:w="1071" w:type="dxa"/>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left"/>
              <w:rPr>
                <w:rFonts w:ascii="宋体" w:hAnsi="宋体" w:eastAsia="宋体" w:cs="宋体"/>
                <w:sz w:val="18"/>
                <w:szCs w:val="18"/>
              </w:rPr>
            </w:pPr>
            <w:r>
              <w:rPr>
                <w:rFonts w:ascii="宋体" w:hAnsi="宋体" w:eastAsia="宋体" w:cs="宋体"/>
                <w:sz w:val="18"/>
                <w:szCs w:val="18"/>
              </w:rPr>
              <w:t>报告期末普通股股东总数</w:t>
            </w:r>
          </w:p>
        </w:tc>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79,484</w:t>
            </w:r>
          </w:p>
        </w:tc>
        <w:tc>
          <w:tcPr>
            <w:tcW w:w="1071" w:type="dxa"/>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left"/>
              <w:rPr>
                <w:rFonts w:ascii="宋体" w:hAnsi="宋体" w:eastAsia="宋体" w:cs="宋体"/>
                <w:sz w:val="18"/>
                <w:szCs w:val="18"/>
              </w:rPr>
            </w:pPr>
            <w:r>
              <w:rPr>
                <w:rFonts w:ascii="宋体" w:hAnsi="宋体" w:eastAsia="宋体" w:cs="宋体"/>
                <w:sz w:val="18"/>
                <w:szCs w:val="18"/>
              </w:rPr>
              <w:t>年度报告披露日前一个月末普通股股东总数</w:t>
            </w:r>
          </w:p>
        </w:tc>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hint="default" w:ascii="宋体" w:hAnsi="宋体" w:eastAsia="宋体" w:cs="宋体"/>
                <w:sz w:val="18"/>
                <w:szCs w:val="18"/>
                <w:lang w:val="en-US" w:eastAsia="zh-CN"/>
              </w:rPr>
            </w:pPr>
            <w:r>
              <w:rPr>
                <w:rFonts w:ascii="宋体" w:hAnsi="宋体" w:eastAsia="宋体" w:cs="宋体"/>
                <w:sz w:val="18"/>
                <w:szCs w:val="18"/>
              </w:rPr>
              <w:t>63,432</w:t>
            </w:r>
          </w:p>
        </w:tc>
        <w:tc>
          <w:tcPr>
            <w:tcW w:w="1071" w:type="dxa"/>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left"/>
              <w:rPr>
                <w:rFonts w:ascii="宋体" w:hAnsi="宋体" w:eastAsia="宋体" w:cs="宋体"/>
                <w:sz w:val="18"/>
                <w:szCs w:val="18"/>
              </w:rPr>
            </w:pPr>
            <w:r>
              <w:rPr>
                <w:rFonts w:ascii="宋体" w:hAnsi="宋体" w:eastAsia="宋体" w:cs="宋体"/>
                <w:sz w:val="18"/>
                <w:szCs w:val="18"/>
              </w:rPr>
              <w:t>报告期末表决权恢复的优先股股东总数</w:t>
            </w:r>
          </w:p>
        </w:tc>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0</w:t>
            </w:r>
          </w:p>
        </w:tc>
        <w:tc>
          <w:tcPr>
            <w:tcW w:w="2142" w:type="dxa"/>
            <w:gridSpan w:val="2"/>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left"/>
              <w:rPr>
                <w:rFonts w:ascii="宋体" w:hAnsi="宋体" w:eastAsia="宋体" w:cs="宋体"/>
                <w:sz w:val="18"/>
                <w:szCs w:val="18"/>
              </w:rPr>
            </w:pPr>
            <w:r>
              <w:rPr>
                <w:rFonts w:ascii="宋体" w:hAnsi="宋体" w:eastAsia="宋体" w:cs="宋体"/>
                <w:sz w:val="18"/>
                <w:szCs w:val="18"/>
              </w:rPr>
              <w:t>年度报告披露日前一个月末表决权恢复的优先股股东总数</w:t>
            </w:r>
          </w:p>
        </w:tc>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0</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40" w:hRule="atLeast"/>
        </w:trPr>
        <w:tc>
          <w:tcPr>
            <w:tcW w:w="9639" w:type="dxa"/>
            <w:gridSpan w:val="9"/>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center"/>
              <w:rPr>
                <w:rFonts w:ascii="宋体" w:hAnsi="宋体" w:eastAsia="宋体" w:cs="宋体"/>
                <w:sz w:val="18"/>
                <w:szCs w:val="18"/>
              </w:rPr>
            </w:pPr>
            <w:r>
              <w:rPr>
                <w:rFonts w:ascii="宋体" w:hAnsi="宋体" w:eastAsia="宋体" w:cs="宋体"/>
                <w:sz w:val="18"/>
                <w:szCs w:val="18"/>
              </w:rPr>
              <w:t>前10名股东持股情况（不含通过转融通出借股份）</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40" w:hRule="atLeast"/>
        </w:trPr>
        <w:tc>
          <w:tcPr>
            <w:tcW w:w="1071" w:type="dxa"/>
            <w:vMerge w:val="restart"/>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center"/>
              <w:rPr>
                <w:rFonts w:ascii="宋体" w:hAnsi="宋体" w:eastAsia="宋体" w:cs="宋体"/>
                <w:sz w:val="18"/>
                <w:szCs w:val="18"/>
              </w:rPr>
            </w:pPr>
            <w:r>
              <w:rPr>
                <w:rFonts w:ascii="宋体" w:hAnsi="宋体" w:eastAsia="宋体" w:cs="宋体"/>
                <w:sz w:val="18"/>
                <w:szCs w:val="18"/>
              </w:rPr>
              <w:t>股东名称</w:t>
            </w:r>
          </w:p>
        </w:tc>
        <w:tc>
          <w:tcPr>
            <w:tcW w:w="1071" w:type="dxa"/>
            <w:vMerge w:val="restart"/>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center"/>
              <w:rPr>
                <w:rFonts w:ascii="宋体" w:hAnsi="宋体" w:eastAsia="宋体" w:cs="宋体"/>
                <w:sz w:val="18"/>
                <w:szCs w:val="18"/>
              </w:rPr>
            </w:pPr>
            <w:r>
              <w:rPr>
                <w:rFonts w:ascii="宋体" w:hAnsi="宋体" w:eastAsia="宋体" w:cs="宋体"/>
                <w:sz w:val="18"/>
                <w:szCs w:val="18"/>
              </w:rPr>
              <w:t>股东性质</w:t>
            </w:r>
          </w:p>
        </w:tc>
        <w:tc>
          <w:tcPr>
            <w:tcW w:w="1071" w:type="dxa"/>
            <w:vMerge w:val="restart"/>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center"/>
              <w:rPr>
                <w:rFonts w:ascii="宋体" w:hAnsi="宋体" w:eastAsia="宋体" w:cs="宋体"/>
                <w:sz w:val="18"/>
                <w:szCs w:val="18"/>
              </w:rPr>
            </w:pPr>
            <w:r>
              <w:rPr>
                <w:rFonts w:ascii="宋体" w:hAnsi="宋体" w:eastAsia="宋体" w:cs="宋体"/>
                <w:sz w:val="18"/>
                <w:szCs w:val="18"/>
              </w:rPr>
              <w:t>持股比例</w:t>
            </w:r>
          </w:p>
        </w:tc>
        <w:tc>
          <w:tcPr>
            <w:tcW w:w="2142" w:type="dxa"/>
            <w:gridSpan w:val="2"/>
            <w:vMerge w:val="restart"/>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center"/>
              <w:rPr>
                <w:rFonts w:ascii="宋体" w:hAnsi="宋体" w:eastAsia="宋体" w:cs="宋体"/>
                <w:sz w:val="18"/>
                <w:szCs w:val="18"/>
              </w:rPr>
            </w:pPr>
            <w:r>
              <w:rPr>
                <w:rFonts w:ascii="宋体" w:hAnsi="宋体" w:eastAsia="宋体" w:cs="宋体"/>
                <w:sz w:val="18"/>
                <w:szCs w:val="18"/>
              </w:rPr>
              <w:t>持股数量</w:t>
            </w:r>
          </w:p>
        </w:tc>
        <w:tc>
          <w:tcPr>
            <w:tcW w:w="2142" w:type="dxa"/>
            <w:gridSpan w:val="2"/>
            <w:vMerge w:val="restart"/>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center"/>
              <w:rPr>
                <w:rFonts w:ascii="宋体" w:hAnsi="宋体" w:eastAsia="宋体" w:cs="宋体"/>
                <w:sz w:val="18"/>
                <w:szCs w:val="18"/>
              </w:rPr>
            </w:pPr>
            <w:r>
              <w:rPr>
                <w:rFonts w:ascii="宋体" w:hAnsi="宋体" w:eastAsia="宋体" w:cs="宋体"/>
                <w:sz w:val="18"/>
                <w:szCs w:val="18"/>
              </w:rPr>
              <w:t>持有有限售条件的股份数量</w:t>
            </w:r>
          </w:p>
        </w:tc>
        <w:tc>
          <w:tcPr>
            <w:tcW w:w="2142" w:type="dxa"/>
            <w:gridSpan w:val="2"/>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center"/>
              <w:rPr>
                <w:rFonts w:ascii="宋体" w:hAnsi="宋体" w:eastAsia="宋体" w:cs="宋体"/>
                <w:sz w:val="18"/>
                <w:szCs w:val="18"/>
              </w:rPr>
            </w:pPr>
            <w:r>
              <w:rPr>
                <w:rFonts w:ascii="宋体" w:hAnsi="宋体" w:eastAsia="宋体" w:cs="宋体"/>
                <w:sz w:val="18"/>
                <w:szCs w:val="18"/>
              </w:rPr>
              <w:t>质押、标记或冻结情况</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40" w:hRule="atLeast"/>
        </w:trPr>
        <w:tc>
          <w:tcPr>
            <w:tcW w:w="1071" w:type="dxa"/>
            <w:vMerge w:val="continue"/>
            <w:tcBorders>
              <w:top w:val="single" w:color="auto" w:sz="2" w:space="0"/>
              <w:left w:val="single" w:color="auto" w:sz="2" w:space="0"/>
              <w:bottom w:val="single" w:color="auto" w:sz="2" w:space="0"/>
              <w:right w:val="single" w:color="auto" w:sz="2" w:space="0"/>
            </w:tcBorders>
            <w:shd w:val="clear" w:color="auto" w:fill="D3D3D3"/>
            <w:vAlign w:val="center"/>
          </w:tcPr>
          <w:p/>
        </w:tc>
        <w:tc>
          <w:tcPr>
            <w:tcW w:w="1071" w:type="dxa"/>
            <w:vMerge w:val="continue"/>
            <w:tcBorders>
              <w:top w:val="single" w:color="auto" w:sz="2" w:space="0"/>
              <w:left w:val="single" w:color="auto" w:sz="2" w:space="0"/>
              <w:bottom w:val="single" w:color="auto" w:sz="2" w:space="0"/>
              <w:right w:val="single" w:color="auto" w:sz="2" w:space="0"/>
            </w:tcBorders>
            <w:shd w:val="clear" w:color="auto" w:fill="D3D3D3"/>
            <w:vAlign w:val="center"/>
          </w:tcPr>
          <w:p/>
        </w:tc>
        <w:tc>
          <w:tcPr>
            <w:tcW w:w="1071" w:type="dxa"/>
            <w:vMerge w:val="continue"/>
            <w:tcBorders>
              <w:top w:val="single" w:color="auto" w:sz="2" w:space="0"/>
              <w:left w:val="single" w:color="auto" w:sz="2" w:space="0"/>
              <w:bottom w:val="single" w:color="auto" w:sz="2" w:space="0"/>
              <w:right w:val="single" w:color="auto" w:sz="2" w:space="0"/>
            </w:tcBorders>
            <w:shd w:val="clear" w:color="auto" w:fill="D3D3D3"/>
            <w:vAlign w:val="center"/>
          </w:tcPr>
          <w:p/>
        </w:tc>
        <w:tc>
          <w:tcPr>
            <w:tcW w:w="2142" w:type="dxa"/>
            <w:gridSpan w:val="2"/>
            <w:vMerge w:val="continue"/>
            <w:tcBorders>
              <w:top w:val="single" w:color="auto" w:sz="2" w:space="0"/>
              <w:left w:val="single" w:color="auto" w:sz="2" w:space="0"/>
              <w:bottom w:val="single" w:color="auto" w:sz="2" w:space="0"/>
              <w:right w:val="single" w:color="auto" w:sz="2" w:space="0"/>
            </w:tcBorders>
            <w:shd w:val="clear" w:color="auto" w:fill="D3D3D3"/>
            <w:vAlign w:val="center"/>
          </w:tcPr>
          <w:p/>
        </w:tc>
        <w:tc>
          <w:tcPr>
            <w:tcW w:w="2142" w:type="dxa"/>
            <w:gridSpan w:val="2"/>
            <w:vMerge w:val="continue"/>
            <w:tcBorders>
              <w:top w:val="single" w:color="auto" w:sz="2" w:space="0"/>
              <w:left w:val="single" w:color="auto" w:sz="2" w:space="0"/>
              <w:bottom w:val="single" w:color="auto" w:sz="2" w:space="0"/>
              <w:right w:val="single" w:color="auto" w:sz="2" w:space="0"/>
            </w:tcBorders>
            <w:shd w:val="clear" w:color="auto" w:fill="D3D3D3"/>
            <w:vAlign w:val="center"/>
          </w:tcPr>
          <w:p/>
        </w:tc>
        <w:tc>
          <w:tcPr>
            <w:tcW w:w="1071" w:type="dxa"/>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center"/>
              <w:rPr>
                <w:rFonts w:ascii="宋体" w:hAnsi="宋体" w:eastAsia="宋体" w:cs="宋体"/>
                <w:sz w:val="18"/>
                <w:szCs w:val="18"/>
              </w:rPr>
            </w:pPr>
            <w:r>
              <w:rPr>
                <w:rFonts w:ascii="宋体" w:hAnsi="宋体" w:eastAsia="宋体" w:cs="宋体"/>
                <w:sz w:val="18"/>
                <w:szCs w:val="18"/>
              </w:rPr>
              <w:t>股份状态</w:t>
            </w:r>
          </w:p>
        </w:tc>
        <w:tc>
          <w:tcPr>
            <w:tcW w:w="1071" w:type="dxa"/>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center"/>
              <w:rPr>
                <w:rFonts w:ascii="宋体" w:hAnsi="宋体" w:eastAsia="宋体" w:cs="宋体"/>
                <w:sz w:val="18"/>
                <w:szCs w:val="18"/>
              </w:rPr>
            </w:pPr>
            <w:r>
              <w:rPr>
                <w:rFonts w:ascii="宋体" w:hAnsi="宋体" w:eastAsia="宋体" w:cs="宋体"/>
                <w:sz w:val="18"/>
                <w:szCs w:val="18"/>
              </w:rPr>
              <w:t>数量</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40" w:hRule="atLeast"/>
        </w:trPr>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left"/>
              <w:rPr>
                <w:rFonts w:ascii="宋体" w:hAnsi="宋体" w:eastAsia="宋体" w:cs="宋体"/>
                <w:sz w:val="18"/>
                <w:szCs w:val="18"/>
              </w:rPr>
            </w:pPr>
            <w:r>
              <w:rPr>
                <w:rFonts w:ascii="宋体" w:hAnsi="宋体" w:eastAsia="宋体" w:cs="宋体"/>
                <w:sz w:val="18"/>
                <w:szCs w:val="18"/>
              </w:rPr>
              <w:t>德华集团控股股份有限公司</w:t>
            </w:r>
          </w:p>
        </w:tc>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left"/>
              <w:rPr>
                <w:rFonts w:ascii="宋体" w:hAnsi="宋体" w:eastAsia="宋体" w:cs="宋体"/>
                <w:sz w:val="18"/>
                <w:szCs w:val="18"/>
              </w:rPr>
            </w:pPr>
            <w:r>
              <w:rPr>
                <w:rFonts w:ascii="宋体" w:hAnsi="宋体" w:eastAsia="宋体" w:cs="宋体"/>
                <w:sz w:val="18"/>
                <w:szCs w:val="18"/>
              </w:rPr>
              <w:t>境内非国有法人</w:t>
            </w:r>
          </w:p>
        </w:tc>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35.81%</w:t>
            </w:r>
          </w:p>
        </w:tc>
        <w:tc>
          <w:tcPr>
            <w:tcW w:w="2142" w:type="dxa"/>
            <w:gridSpan w:val="2"/>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300,773,456.00</w:t>
            </w:r>
          </w:p>
        </w:tc>
        <w:tc>
          <w:tcPr>
            <w:tcW w:w="2142" w:type="dxa"/>
            <w:gridSpan w:val="2"/>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71,428,571.00</w:t>
            </w:r>
          </w:p>
        </w:tc>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left"/>
              <w:rPr>
                <w:rFonts w:ascii="宋体" w:hAnsi="宋体" w:eastAsia="宋体" w:cs="宋体"/>
                <w:sz w:val="18"/>
                <w:szCs w:val="18"/>
              </w:rPr>
            </w:pPr>
            <w:r>
              <w:rPr>
                <w:rFonts w:ascii="宋体" w:hAnsi="宋体" w:eastAsia="宋体" w:cs="宋体"/>
                <w:sz w:val="18"/>
                <w:szCs w:val="18"/>
              </w:rPr>
              <w:t>质押</w:t>
            </w:r>
          </w:p>
        </w:tc>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84,000,000.00</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40" w:hRule="atLeast"/>
        </w:trPr>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left"/>
              <w:rPr>
                <w:rFonts w:ascii="宋体" w:hAnsi="宋体" w:eastAsia="宋体" w:cs="宋体"/>
                <w:sz w:val="18"/>
                <w:szCs w:val="18"/>
              </w:rPr>
            </w:pPr>
            <w:r>
              <w:rPr>
                <w:rFonts w:ascii="宋体" w:hAnsi="宋体" w:eastAsia="宋体" w:cs="宋体"/>
                <w:sz w:val="18"/>
                <w:szCs w:val="18"/>
              </w:rPr>
              <w:t>德华创业投资有限公司</w:t>
            </w:r>
          </w:p>
        </w:tc>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left"/>
              <w:rPr>
                <w:rFonts w:ascii="宋体" w:hAnsi="宋体" w:eastAsia="宋体" w:cs="宋体"/>
                <w:sz w:val="18"/>
                <w:szCs w:val="18"/>
              </w:rPr>
            </w:pPr>
            <w:r>
              <w:rPr>
                <w:rFonts w:ascii="宋体" w:hAnsi="宋体" w:eastAsia="宋体" w:cs="宋体"/>
                <w:sz w:val="18"/>
                <w:szCs w:val="18"/>
              </w:rPr>
              <w:t>境内非国有法人</w:t>
            </w:r>
          </w:p>
        </w:tc>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6.05%</w:t>
            </w:r>
          </w:p>
        </w:tc>
        <w:tc>
          <w:tcPr>
            <w:tcW w:w="2142" w:type="dxa"/>
            <w:gridSpan w:val="2"/>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50,813,008.00</w:t>
            </w:r>
          </w:p>
        </w:tc>
        <w:tc>
          <w:tcPr>
            <w:tcW w:w="2142" w:type="dxa"/>
            <w:gridSpan w:val="2"/>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0.00</w:t>
            </w:r>
          </w:p>
        </w:tc>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left"/>
              <w:rPr>
                <w:rFonts w:ascii="宋体" w:hAnsi="宋体" w:eastAsia="宋体" w:cs="宋体"/>
                <w:sz w:val="18"/>
                <w:szCs w:val="18"/>
              </w:rPr>
            </w:pPr>
            <w:r>
              <w:rPr>
                <w:rFonts w:ascii="宋体" w:hAnsi="宋体" w:eastAsia="宋体" w:cs="宋体"/>
                <w:sz w:val="18"/>
                <w:szCs w:val="18"/>
              </w:rPr>
              <w:t>不适用</w:t>
            </w:r>
          </w:p>
        </w:tc>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0</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40" w:hRule="atLeast"/>
        </w:trPr>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left"/>
              <w:rPr>
                <w:rFonts w:ascii="宋体" w:hAnsi="宋体" w:eastAsia="宋体" w:cs="宋体"/>
                <w:sz w:val="18"/>
                <w:szCs w:val="18"/>
              </w:rPr>
            </w:pPr>
            <w:r>
              <w:rPr>
                <w:rFonts w:ascii="宋体" w:hAnsi="宋体" w:eastAsia="宋体" w:cs="宋体"/>
                <w:sz w:val="18"/>
                <w:szCs w:val="18"/>
              </w:rPr>
              <w:t>漆勇</w:t>
            </w:r>
          </w:p>
        </w:tc>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left"/>
              <w:rPr>
                <w:rFonts w:ascii="宋体" w:hAnsi="宋体" w:eastAsia="宋体" w:cs="宋体"/>
                <w:sz w:val="18"/>
                <w:szCs w:val="18"/>
              </w:rPr>
            </w:pPr>
            <w:r>
              <w:rPr>
                <w:rFonts w:ascii="宋体" w:hAnsi="宋体" w:eastAsia="宋体" w:cs="宋体"/>
                <w:sz w:val="18"/>
                <w:szCs w:val="18"/>
              </w:rPr>
              <w:t>境内自然人</w:t>
            </w:r>
          </w:p>
        </w:tc>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4.02%</w:t>
            </w:r>
          </w:p>
        </w:tc>
        <w:tc>
          <w:tcPr>
            <w:tcW w:w="2142" w:type="dxa"/>
            <w:gridSpan w:val="2"/>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33,756,000.00</w:t>
            </w:r>
          </w:p>
        </w:tc>
        <w:tc>
          <w:tcPr>
            <w:tcW w:w="2142" w:type="dxa"/>
            <w:gridSpan w:val="2"/>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300,000.00</w:t>
            </w:r>
          </w:p>
        </w:tc>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left"/>
              <w:rPr>
                <w:rFonts w:ascii="宋体" w:hAnsi="宋体" w:eastAsia="宋体" w:cs="宋体"/>
                <w:sz w:val="18"/>
                <w:szCs w:val="18"/>
              </w:rPr>
            </w:pPr>
            <w:r>
              <w:rPr>
                <w:rFonts w:ascii="宋体" w:hAnsi="宋体" w:eastAsia="宋体" w:cs="宋体"/>
                <w:sz w:val="18"/>
                <w:szCs w:val="18"/>
              </w:rPr>
              <w:t>不适用</w:t>
            </w:r>
          </w:p>
        </w:tc>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0</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40" w:hRule="atLeast"/>
        </w:trPr>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left"/>
              <w:rPr>
                <w:rFonts w:ascii="宋体" w:hAnsi="宋体" w:eastAsia="宋体" w:cs="宋体"/>
                <w:sz w:val="18"/>
                <w:szCs w:val="18"/>
              </w:rPr>
            </w:pPr>
            <w:r>
              <w:rPr>
                <w:rFonts w:ascii="宋体" w:hAnsi="宋体" w:eastAsia="宋体" w:cs="宋体"/>
                <w:sz w:val="18"/>
                <w:szCs w:val="18"/>
              </w:rPr>
              <w:t>丁鸿敏</w:t>
            </w:r>
          </w:p>
        </w:tc>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left"/>
              <w:rPr>
                <w:rFonts w:ascii="宋体" w:hAnsi="宋体" w:eastAsia="宋体" w:cs="宋体"/>
                <w:sz w:val="18"/>
                <w:szCs w:val="18"/>
              </w:rPr>
            </w:pPr>
            <w:r>
              <w:rPr>
                <w:rFonts w:ascii="宋体" w:hAnsi="宋体" w:eastAsia="宋体" w:cs="宋体"/>
                <w:sz w:val="18"/>
                <w:szCs w:val="18"/>
              </w:rPr>
              <w:t>境内自然人</w:t>
            </w:r>
          </w:p>
        </w:tc>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2.42%</w:t>
            </w:r>
          </w:p>
        </w:tc>
        <w:tc>
          <w:tcPr>
            <w:tcW w:w="2142" w:type="dxa"/>
            <w:gridSpan w:val="2"/>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20,325,204.00</w:t>
            </w:r>
          </w:p>
        </w:tc>
        <w:tc>
          <w:tcPr>
            <w:tcW w:w="2142" w:type="dxa"/>
            <w:gridSpan w:val="2"/>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15,243,903.00</w:t>
            </w:r>
          </w:p>
        </w:tc>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left"/>
              <w:rPr>
                <w:rFonts w:ascii="宋体" w:hAnsi="宋体" w:eastAsia="宋体" w:cs="宋体"/>
                <w:sz w:val="18"/>
                <w:szCs w:val="18"/>
              </w:rPr>
            </w:pPr>
            <w:r>
              <w:rPr>
                <w:rFonts w:ascii="宋体" w:hAnsi="宋体" w:eastAsia="宋体" w:cs="宋体"/>
                <w:sz w:val="18"/>
                <w:szCs w:val="18"/>
              </w:rPr>
              <w:t>不适用</w:t>
            </w:r>
          </w:p>
        </w:tc>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0</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40" w:hRule="atLeast"/>
        </w:trPr>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left"/>
              <w:rPr>
                <w:rFonts w:ascii="宋体" w:hAnsi="宋体" w:eastAsia="宋体" w:cs="宋体"/>
                <w:sz w:val="18"/>
                <w:szCs w:val="18"/>
              </w:rPr>
            </w:pPr>
            <w:r>
              <w:rPr>
                <w:rFonts w:ascii="宋体" w:hAnsi="宋体" w:eastAsia="宋体" w:cs="宋体"/>
                <w:sz w:val="18"/>
                <w:szCs w:val="18"/>
              </w:rPr>
              <w:t>全国社保基金四一三组合</w:t>
            </w:r>
          </w:p>
        </w:tc>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left"/>
              <w:rPr>
                <w:rFonts w:ascii="宋体" w:hAnsi="宋体" w:eastAsia="宋体" w:cs="宋体"/>
                <w:sz w:val="18"/>
                <w:szCs w:val="18"/>
              </w:rPr>
            </w:pPr>
            <w:r>
              <w:rPr>
                <w:rFonts w:ascii="宋体" w:hAnsi="宋体" w:eastAsia="宋体" w:cs="宋体"/>
                <w:sz w:val="18"/>
                <w:szCs w:val="18"/>
              </w:rPr>
              <w:t>境内非国有法人</w:t>
            </w:r>
          </w:p>
        </w:tc>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2.03%</w:t>
            </w:r>
          </w:p>
        </w:tc>
        <w:tc>
          <w:tcPr>
            <w:tcW w:w="2142" w:type="dxa"/>
            <w:gridSpan w:val="2"/>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17,088,002.00</w:t>
            </w:r>
          </w:p>
        </w:tc>
        <w:tc>
          <w:tcPr>
            <w:tcW w:w="2142" w:type="dxa"/>
            <w:gridSpan w:val="2"/>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0.00</w:t>
            </w:r>
          </w:p>
        </w:tc>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left"/>
              <w:rPr>
                <w:rFonts w:ascii="宋体" w:hAnsi="宋体" w:eastAsia="宋体" w:cs="宋体"/>
                <w:sz w:val="18"/>
                <w:szCs w:val="18"/>
              </w:rPr>
            </w:pPr>
            <w:r>
              <w:rPr>
                <w:rFonts w:ascii="宋体" w:hAnsi="宋体" w:eastAsia="宋体" w:cs="宋体"/>
                <w:sz w:val="18"/>
                <w:szCs w:val="18"/>
              </w:rPr>
              <w:t>不适用</w:t>
            </w:r>
          </w:p>
        </w:tc>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0</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40" w:hRule="atLeast"/>
        </w:trPr>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left"/>
              <w:rPr>
                <w:rFonts w:ascii="宋体" w:hAnsi="宋体" w:eastAsia="宋体" w:cs="宋体"/>
                <w:sz w:val="18"/>
                <w:szCs w:val="18"/>
              </w:rPr>
            </w:pPr>
            <w:r>
              <w:rPr>
                <w:rFonts w:ascii="宋体" w:hAnsi="宋体" w:eastAsia="宋体" w:cs="宋体"/>
                <w:sz w:val="18"/>
                <w:szCs w:val="18"/>
              </w:rPr>
              <w:t>汇添富基金管理股份有限公司－社保基金四二三组合</w:t>
            </w:r>
          </w:p>
        </w:tc>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left"/>
              <w:rPr>
                <w:rFonts w:ascii="宋体" w:hAnsi="宋体" w:eastAsia="宋体" w:cs="宋体"/>
                <w:sz w:val="18"/>
                <w:szCs w:val="18"/>
              </w:rPr>
            </w:pPr>
            <w:r>
              <w:rPr>
                <w:rFonts w:ascii="宋体" w:hAnsi="宋体" w:eastAsia="宋体" w:cs="宋体"/>
                <w:sz w:val="18"/>
                <w:szCs w:val="18"/>
              </w:rPr>
              <w:t>境内非国有法人</w:t>
            </w:r>
          </w:p>
        </w:tc>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0.85%</w:t>
            </w:r>
          </w:p>
        </w:tc>
        <w:tc>
          <w:tcPr>
            <w:tcW w:w="2142" w:type="dxa"/>
            <w:gridSpan w:val="2"/>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7,130,095.00</w:t>
            </w:r>
          </w:p>
        </w:tc>
        <w:tc>
          <w:tcPr>
            <w:tcW w:w="2142" w:type="dxa"/>
            <w:gridSpan w:val="2"/>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0.00</w:t>
            </w:r>
          </w:p>
        </w:tc>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left"/>
              <w:rPr>
                <w:rFonts w:ascii="宋体" w:hAnsi="宋体" w:eastAsia="宋体" w:cs="宋体"/>
                <w:sz w:val="18"/>
                <w:szCs w:val="18"/>
              </w:rPr>
            </w:pPr>
            <w:r>
              <w:rPr>
                <w:rFonts w:ascii="宋体" w:hAnsi="宋体" w:eastAsia="宋体" w:cs="宋体"/>
                <w:sz w:val="18"/>
                <w:szCs w:val="18"/>
              </w:rPr>
              <w:t>不适用</w:t>
            </w:r>
          </w:p>
        </w:tc>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0</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40" w:hRule="atLeast"/>
        </w:trPr>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left"/>
              <w:rPr>
                <w:rFonts w:ascii="宋体" w:hAnsi="宋体" w:eastAsia="宋体" w:cs="宋体"/>
                <w:sz w:val="18"/>
                <w:szCs w:val="18"/>
              </w:rPr>
            </w:pPr>
            <w:r>
              <w:rPr>
                <w:rFonts w:ascii="宋体" w:hAnsi="宋体" w:eastAsia="宋体" w:cs="宋体"/>
                <w:sz w:val="18"/>
                <w:szCs w:val="18"/>
              </w:rPr>
              <w:t>德华兔宝宝装饰新材股份有限公司－第二期员工持股计划</w:t>
            </w:r>
          </w:p>
        </w:tc>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left"/>
              <w:rPr>
                <w:rFonts w:ascii="宋体" w:hAnsi="宋体" w:eastAsia="宋体" w:cs="宋体"/>
                <w:sz w:val="18"/>
                <w:szCs w:val="18"/>
              </w:rPr>
            </w:pPr>
            <w:r>
              <w:rPr>
                <w:rFonts w:ascii="宋体" w:hAnsi="宋体" w:eastAsia="宋体" w:cs="宋体"/>
                <w:sz w:val="18"/>
                <w:szCs w:val="18"/>
              </w:rPr>
              <w:t>境内非国有法人</w:t>
            </w:r>
          </w:p>
        </w:tc>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0.80%</w:t>
            </w:r>
          </w:p>
        </w:tc>
        <w:tc>
          <w:tcPr>
            <w:tcW w:w="2142" w:type="dxa"/>
            <w:gridSpan w:val="2"/>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6,702,000.00</w:t>
            </w:r>
          </w:p>
        </w:tc>
        <w:tc>
          <w:tcPr>
            <w:tcW w:w="2142" w:type="dxa"/>
            <w:gridSpan w:val="2"/>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0.00</w:t>
            </w:r>
          </w:p>
        </w:tc>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left"/>
              <w:rPr>
                <w:rFonts w:ascii="宋体" w:hAnsi="宋体" w:eastAsia="宋体" w:cs="宋体"/>
                <w:sz w:val="18"/>
                <w:szCs w:val="18"/>
              </w:rPr>
            </w:pPr>
            <w:r>
              <w:rPr>
                <w:rFonts w:ascii="宋体" w:hAnsi="宋体" w:eastAsia="宋体" w:cs="宋体"/>
                <w:sz w:val="18"/>
                <w:szCs w:val="18"/>
              </w:rPr>
              <w:t>不适用</w:t>
            </w:r>
          </w:p>
        </w:tc>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0</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40" w:hRule="atLeast"/>
        </w:trPr>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left"/>
              <w:rPr>
                <w:rFonts w:ascii="宋体" w:hAnsi="宋体" w:eastAsia="宋体" w:cs="宋体"/>
                <w:sz w:val="18"/>
                <w:szCs w:val="18"/>
              </w:rPr>
            </w:pPr>
            <w:r>
              <w:rPr>
                <w:rFonts w:ascii="宋体" w:hAnsi="宋体" w:eastAsia="宋体" w:cs="宋体"/>
                <w:sz w:val="18"/>
                <w:szCs w:val="18"/>
              </w:rPr>
              <w:t>香港中央结算有限公司</w:t>
            </w:r>
          </w:p>
        </w:tc>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left"/>
              <w:rPr>
                <w:rFonts w:ascii="宋体" w:hAnsi="宋体" w:eastAsia="宋体" w:cs="宋体"/>
                <w:sz w:val="18"/>
                <w:szCs w:val="18"/>
              </w:rPr>
            </w:pPr>
            <w:r>
              <w:rPr>
                <w:rFonts w:ascii="宋体" w:hAnsi="宋体" w:eastAsia="宋体" w:cs="宋体"/>
                <w:sz w:val="18"/>
                <w:szCs w:val="18"/>
              </w:rPr>
              <w:t>境外法人</w:t>
            </w:r>
          </w:p>
        </w:tc>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0.74%</w:t>
            </w:r>
          </w:p>
        </w:tc>
        <w:tc>
          <w:tcPr>
            <w:tcW w:w="2142" w:type="dxa"/>
            <w:gridSpan w:val="2"/>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6,199,802.00</w:t>
            </w:r>
          </w:p>
        </w:tc>
        <w:tc>
          <w:tcPr>
            <w:tcW w:w="2142" w:type="dxa"/>
            <w:gridSpan w:val="2"/>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0.00</w:t>
            </w:r>
          </w:p>
        </w:tc>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left"/>
              <w:rPr>
                <w:rFonts w:ascii="宋体" w:hAnsi="宋体" w:eastAsia="宋体" w:cs="宋体"/>
                <w:sz w:val="18"/>
                <w:szCs w:val="18"/>
              </w:rPr>
            </w:pPr>
            <w:r>
              <w:rPr>
                <w:rFonts w:ascii="宋体" w:hAnsi="宋体" w:eastAsia="宋体" w:cs="宋体"/>
                <w:sz w:val="18"/>
                <w:szCs w:val="18"/>
              </w:rPr>
              <w:t>不适用</w:t>
            </w:r>
          </w:p>
        </w:tc>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0</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40" w:hRule="atLeast"/>
        </w:trPr>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left"/>
              <w:rPr>
                <w:rFonts w:ascii="宋体" w:hAnsi="宋体" w:eastAsia="宋体" w:cs="宋体"/>
                <w:sz w:val="18"/>
                <w:szCs w:val="18"/>
              </w:rPr>
            </w:pPr>
            <w:r>
              <w:rPr>
                <w:rFonts w:ascii="宋体" w:hAnsi="宋体" w:eastAsia="宋体" w:cs="宋体"/>
                <w:sz w:val="18"/>
                <w:szCs w:val="18"/>
              </w:rPr>
              <w:t>中国农业银行股份有限公司－工银瑞信战略转型主题股票型证券投资基金</w:t>
            </w:r>
          </w:p>
        </w:tc>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left"/>
              <w:rPr>
                <w:rFonts w:ascii="宋体" w:hAnsi="宋体" w:eastAsia="宋体" w:cs="宋体"/>
                <w:sz w:val="18"/>
                <w:szCs w:val="18"/>
              </w:rPr>
            </w:pPr>
            <w:r>
              <w:rPr>
                <w:rFonts w:ascii="宋体" w:hAnsi="宋体" w:eastAsia="宋体" w:cs="宋体"/>
                <w:sz w:val="18"/>
                <w:szCs w:val="18"/>
              </w:rPr>
              <w:t>境内非国有法人</w:t>
            </w:r>
          </w:p>
        </w:tc>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0.69%</w:t>
            </w:r>
          </w:p>
        </w:tc>
        <w:tc>
          <w:tcPr>
            <w:tcW w:w="2142" w:type="dxa"/>
            <w:gridSpan w:val="2"/>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5,800,700.00</w:t>
            </w:r>
          </w:p>
        </w:tc>
        <w:tc>
          <w:tcPr>
            <w:tcW w:w="2142" w:type="dxa"/>
            <w:gridSpan w:val="2"/>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0.00</w:t>
            </w:r>
          </w:p>
        </w:tc>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left"/>
              <w:rPr>
                <w:rFonts w:ascii="宋体" w:hAnsi="宋体" w:eastAsia="宋体" w:cs="宋体"/>
                <w:sz w:val="18"/>
                <w:szCs w:val="18"/>
              </w:rPr>
            </w:pPr>
            <w:r>
              <w:rPr>
                <w:rFonts w:ascii="宋体" w:hAnsi="宋体" w:eastAsia="宋体" w:cs="宋体"/>
                <w:sz w:val="18"/>
                <w:szCs w:val="18"/>
              </w:rPr>
              <w:t>不适用</w:t>
            </w:r>
          </w:p>
        </w:tc>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0</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40" w:hRule="atLeast"/>
        </w:trPr>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left"/>
              <w:rPr>
                <w:rFonts w:ascii="宋体" w:hAnsi="宋体" w:eastAsia="宋体" w:cs="宋体"/>
                <w:sz w:val="18"/>
                <w:szCs w:val="18"/>
              </w:rPr>
            </w:pPr>
            <w:r>
              <w:rPr>
                <w:rFonts w:ascii="宋体" w:hAnsi="宋体" w:eastAsia="宋体" w:cs="宋体"/>
                <w:sz w:val="18"/>
                <w:szCs w:val="18"/>
              </w:rPr>
              <w:t>陆利华</w:t>
            </w:r>
          </w:p>
        </w:tc>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left"/>
              <w:rPr>
                <w:rFonts w:ascii="宋体" w:hAnsi="宋体" w:eastAsia="宋体" w:cs="宋体"/>
                <w:sz w:val="18"/>
                <w:szCs w:val="18"/>
              </w:rPr>
            </w:pPr>
            <w:r>
              <w:rPr>
                <w:rFonts w:ascii="宋体" w:hAnsi="宋体" w:eastAsia="宋体" w:cs="宋体"/>
                <w:sz w:val="18"/>
                <w:szCs w:val="18"/>
              </w:rPr>
              <w:t>境内自然人</w:t>
            </w:r>
          </w:p>
        </w:tc>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0.68%</w:t>
            </w:r>
          </w:p>
        </w:tc>
        <w:tc>
          <w:tcPr>
            <w:tcW w:w="2142" w:type="dxa"/>
            <w:gridSpan w:val="2"/>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5,671,017.00</w:t>
            </w:r>
          </w:p>
        </w:tc>
        <w:tc>
          <w:tcPr>
            <w:tcW w:w="2142" w:type="dxa"/>
            <w:gridSpan w:val="2"/>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5,671,017.00</w:t>
            </w:r>
          </w:p>
        </w:tc>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left"/>
              <w:rPr>
                <w:rFonts w:ascii="宋体" w:hAnsi="宋体" w:eastAsia="宋体" w:cs="宋体"/>
                <w:sz w:val="18"/>
                <w:szCs w:val="18"/>
              </w:rPr>
            </w:pPr>
            <w:r>
              <w:rPr>
                <w:rFonts w:ascii="宋体" w:hAnsi="宋体" w:eastAsia="宋体" w:cs="宋体"/>
                <w:sz w:val="18"/>
                <w:szCs w:val="18"/>
              </w:rPr>
              <w:t>不适用</w:t>
            </w:r>
          </w:p>
        </w:tc>
        <w:tc>
          <w:tcPr>
            <w:tcW w:w="1071" w:type="dxa"/>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right"/>
              <w:rPr>
                <w:rFonts w:ascii="宋体" w:hAnsi="宋体" w:eastAsia="宋体" w:cs="宋体"/>
                <w:sz w:val="18"/>
                <w:szCs w:val="18"/>
              </w:rPr>
            </w:pPr>
            <w:r>
              <w:rPr>
                <w:rFonts w:ascii="宋体" w:hAnsi="宋体" w:eastAsia="宋体" w:cs="宋体"/>
                <w:sz w:val="18"/>
                <w:szCs w:val="18"/>
              </w:rPr>
              <w:t>0</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40" w:hRule="atLeast"/>
        </w:trPr>
        <w:tc>
          <w:tcPr>
            <w:tcW w:w="2142" w:type="dxa"/>
            <w:gridSpan w:val="2"/>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left"/>
              <w:rPr>
                <w:rFonts w:ascii="宋体" w:hAnsi="宋体" w:eastAsia="宋体" w:cs="宋体"/>
                <w:sz w:val="18"/>
                <w:szCs w:val="18"/>
              </w:rPr>
            </w:pPr>
            <w:r>
              <w:rPr>
                <w:rFonts w:ascii="宋体" w:hAnsi="宋体" w:eastAsia="宋体" w:cs="宋体"/>
                <w:sz w:val="18"/>
                <w:szCs w:val="18"/>
              </w:rPr>
              <w:t>上述股东关联关系或一致行动的说明</w:t>
            </w:r>
          </w:p>
        </w:tc>
        <w:tc>
          <w:tcPr>
            <w:tcW w:w="7497" w:type="dxa"/>
            <w:gridSpan w:val="7"/>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left"/>
              <w:rPr>
                <w:rFonts w:ascii="宋体" w:hAnsi="宋体" w:eastAsia="宋体" w:cs="宋体"/>
                <w:sz w:val="18"/>
                <w:szCs w:val="18"/>
              </w:rPr>
            </w:pPr>
            <w:r>
              <w:rPr>
                <w:rFonts w:ascii="宋体" w:hAnsi="宋体" w:eastAsia="宋体" w:cs="宋体"/>
                <w:sz w:val="18"/>
                <w:szCs w:val="18"/>
              </w:rPr>
              <w:t>前10名股东中，德华集团控股股份有限公司为本公司的控股股东，与公司实际控制人丁鸿敏及德华集团的控股子公司德华创业投资有限公司为一致行动人；与其他股东不存在关联关系，也不属于《上市公司收购管理办法》中规定的一致行动人。除此之外，本公司未知其他股东之间是否存在关联关系，也未知其他股东之间是否属于《上市公司收购管理办法》中规定的一致行动人。</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240" w:hRule="atLeast"/>
        </w:trPr>
        <w:tc>
          <w:tcPr>
            <w:tcW w:w="2142" w:type="dxa"/>
            <w:gridSpan w:val="2"/>
            <w:tcBorders>
              <w:top w:val="single" w:color="auto" w:sz="2" w:space="0"/>
              <w:left w:val="single" w:color="auto" w:sz="2" w:space="0"/>
              <w:bottom w:val="single" w:color="auto" w:sz="2" w:space="0"/>
              <w:right w:val="single" w:color="auto" w:sz="2" w:space="0"/>
            </w:tcBorders>
            <w:shd w:val="clear" w:color="auto" w:fill="D3D3D3"/>
            <w:vAlign w:val="center"/>
          </w:tcPr>
          <w:p>
            <w:pPr>
              <w:spacing w:before="40" w:after="40" w:line="240" w:lineRule="exact"/>
              <w:jc w:val="left"/>
              <w:rPr>
                <w:rFonts w:ascii="宋体" w:hAnsi="宋体" w:eastAsia="宋体" w:cs="宋体"/>
                <w:sz w:val="18"/>
                <w:szCs w:val="18"/>
              </w:rPr>
            </w:pPr>
            <w:r>
              <w:rPr>
                <w:rFonts w:ascii="宋体" w:hAnsi="宋体" w:eastAsia="宋体" w:cs="宋体"/>
                <w:sz w:val="18"/>
                <w:szCs w:val="18"/>
              </w:rPr>
              <w:t>参与融资融券业务股东情况说明（如有）</w:t>
            </w:r>
          </w:p>
        </w:tc>
        <w:tc>
          <w:tcPr>
            <w:tcW w:w="7497" w:type="dxa"/>
            <w:gridSpan w:val="7"/>
            <w:tcBorders>
              <w:top w:val="single" w:color="auto" w:sz="2" w:space="0"/>
              <w:left w:val="single" w:color="auto" w:sz="2" w:space="0"/>
              <w:bottom w:val="single" w:color="auto" w:sz="2" w:space="0"/>
              <w:right w:val="single" w:color="auto" w:sz="2" w:space="0"/>
            </w:tcBorders>
            <w:vAlign w:val="center"/>
          </w:tcPr>
          <w:p>
            <w:pPr>
              <w:spacing w:before="0" w:after="0" w:line="240" w:lineRule="exact"/>
              <w:jc w:val="left"/>
              <w:rPr>
                <w:rFonts w:ascii="宋体" w:hAnsi="宋体" w:eastAsia="宋体" w:cs="宋体"/>
                <w:sz w:val="18"/>
                <w:szCs w:val="18"/>
              </w:rPr>
            </w:pPr>
            <w:r>
              <w:rPr>
                <w:rFonts w:ascii="宋体" w:hAnsi="宋体" w:eastAsia="宋体" w:cs="宋体"/>
                <w:sz w:val="18"/>
                <w:szCs w:val="18"/>
              </w:rPr>
              <w:t>无</w:t>
            </w:r>
          </w:p>
        </w:tc>
      </w:tr>
    </w:tbl>
    <w:p>
      <w:pPr>
        <w:spacing w:before="100" w:after="100" w:line="240" w:lineRule="exact"/>
        <w:jc w:val="left"/>
        <w:rPr>
          <w:rFonts w:ascii="宋体" w:hAnsi="宋体" w:eastAsia="宋体" w:cs="宋体"/>
          <w:sz w:val="18"/>
          <w:szCs w:val="18"/>
        </w:rPr>
      </w:pPr>
      <w:r>
        <w:rPr>
          <w:rFonts w:ascii="宋体" w:hAnsi="宋体" w:eastAsia="宋体" w:cs="宋体"/>
          <w:sz w:val="18"/>
          <w:szCs w:val="18"/>
        </w:rPr>
        <w:t>前十名股东参与转融通业务出借股份情况</w:t>
      </w:r>
    </w:p>
    <w:p>
      <w:pPr>
        <w:spacing w:before="0" w:after="0" w:line="240" w:lineRule="exact"/>
        <w:jc w:val="left"/>
        <w:rPr>
          <w:rFonts w:ascii="宋体" w:hAnsi="宋体" w:eastAsia="宋体" w:cs="宋体"/>
          <w:sz w:val="18"/>
          <w:szCs w:val="18"/>
        </w:rPr>
      </w:pPr>
      <w:r>
        <w:rPr>
          <w:rFonts w:ascii="宋体" w:hAnsi="宋体" w:eastAsia="宋体" w:cs="宋体"/>
          <w:sz w:val="18"/>
          <w:szCs w:val="18"/>
        </w:rPr>
        <w:t xml:space="preserve">□适用 </w:t>
      </w:r>
      <w:r>
        <w:rPr>
          <w:rFonts w:ascii="宋体" w:hAnsi="宋体" w:eastAsia="宋体" w:cs="宋体"/>
          <w:sz w:val="18"/>
          <w:szCs w:val="18"/>
        </w:rPr>
        <w:sym w:font="Wingdings 2" w:char="F052"/>
      </w:r>
      <w:r>
        <w:rPr>
          <w:rFonts w:ascii="宋体" w:hAnsi="宋体" w:eastAsia="宋体" w:cs="宋体"/>
          <w:sz w:val="18"/>
          <w:szCs w:val="18"/>
        </w:rPr>
        <w:t>不适用</w:t>
      </w:r>
    </w:p>
    <w:p>
      <w:pPr>
        <w:spacing w:before="100" w:after="100" w:line="240" w:lineRule="exact"/>
        <w:jc w:val="left"/>
        <w:rPr>
          <w:rFonts w:ascii="宋体" w:hAnsi="宋体" w:eastAsia="宋体" w:cs="宋体"/>
          <w:sz w:val="18"/>
          <w:szCs w:val="18"/>
        </w:rPr>
      </w:pPr>
      <w:r>
        <w:rPr>
          <w:rFonts w:ascii="宋体" w:hAnsi="宋体" w:eastAsia="宋体" w:cs="宋体"/>
          <w:sz w:val="18"/>
          <w:szCs w:val="18"/>
        </w:rPr>
        <w:t>前十名股东较上期发生变化</w:t>
      </w:r>
    </w:p>
    <w:p>
      <w:pPr>
        <w:spacing w:before="0" w:after="0" w:line="240" w:lineRule="exact"/>
        <w:jc w:val="left"/>
        <w:rPr>
          <w:rFonts w:ascii="宋体" w:hAnsi="宋体" w:eastAsia="宋体" w:cs="宋体"/>
          <w:sz w:val="18"/>
          <w:szCs w:val="18"/>
        </w:rPr>
      </w:pPr>
      <w:r>
        <w:rPr>
          <w:rFonts w:ascii="宋体" w:hAnsi="宋体" w:eastAsia="宋体" w:cs="宋体"/>
          <w:sz w:val="18"/>
          <w:szCs w:val="18"/>
        </w:rPr>
        <w:t xml:space="preserve">□适用 </w:t>
      </w:r>
      <w:r>
        <w:rPr>
          <w:rFonts w:ascii="宋体" w:hAnsi="宋体" w:eastAsia="宋体" w:cs="宋体"/>
          <w:sz w:val="18"/>
          <w:szCs w:val="18"/>
        </w:rPr>
        <w:sym w:font="Wingdings 2" w:char="F052"/>
      </w:r>
      <w:r>
        <w:rPr>
          <w:rFonts w:ascii="宋体" w:hAnsi="宋体" w:eastAsia="宋体" w:cs="宋体"/>
          <w:sz w:val="18"/>
          <w:szCs w:val="18"/>
        </w:rPr>
        <w:t>不适用</w:t>
      </w:r>
    </w:p>
    <w:p>
      <w:pPr>
        <w:keepNext/>
        <w:keepLines/>
        <w:spacing w:before="300" w:after="300" w:line="280" w:lineRule="exact"/>
        <w:jc w:val="left"/>
        <w:outlineLvl w:val="3"/>
        <w:rPr>
          <w:rFonts w:ascii="宋体" w:hAnsi="宋体" w:eastAsia="宋体" w:cs="宋体"/>
          <w:b/>
          <w:bCs/>
          <w:sz w:val="18"/>
          <w:szCs w:val="18"/>
        </w:rPr>
      </w:pPr>
      <w:bookmarkStart w:id="9" w:name="_Toc988898"/>
      <w:r>
        <w:rPr>
          <w:rFonts w:ascii="宋体" w:hAnsi="宋体" w:eastAsia="宋体" w:cs="宋体"/>
          <w:b/>
          <w:bCs/>
          <w:sz w:val="18"/>
          <w:szCs w:val="18"/>
        </w:rPr>
        <w:t>（2） 公司优先股股东总数及前10名优先股股东持股情况表</w:t>
      </w:r>
      <w:bookmarkEnd w:id="9"/>
    </w:p>
    <w:p>
      <w:pPr>
        <w:spacing w:before="40" w:after="40" w:line="240" w:lineRule="exact"/>
        <w:jc w:val="left"/>
        <w:rPr>
          <w:rFonts w:ascii="宋体" w:hAnsi="宋体" w:eastAsia="宋体" w:cs="宋体"/>
          <w:sz w:val="18"/>
          <w:szCs w:val="18"/>
        </w:rPr>
      </w:pPr>
      <w:r>
        <w:rPr>
          <w:rFonts w:ascii="宋体" w:hAnsi="宋体" w:eastAsia="宋体" w:cs="宋体"/>
          <w:sz w:val="18"/>
          <w:szCs w:val="18"/>
        </w:rPr>
        <w:t xml:space="preserve">□适用 </w:t>
      </w:r>
      <w:r>
        <w:rPr>
          <w:rFonts w:ascii="宋体" w:hAnsi="宋体" w:eastAsia="宋体" w:cs="宋体"/>
          <w:sz w:val="18"/>
          <w:szCs w:val="18"/>
        </w:rPr>
        <w:sym w:font="Wingdings 2" w:char="F052"/>
      </w:r>
      <w:r>
        <w:rPr>
          <w:rFonts w:ascii="宋体" w:hAnsi="宋体" w:eastAsia="宋体" w:cs="宋体"/>
          <w:sz w:val="18"/>
          <w:szCs w:val="18"/>
        </w:rPr>
        <w:t>不适用</w:t>
      </w:r>
    </w:p>
    <w:p>
      <w:pPr>
        <w:spacing w:before="100" w:after="100" w:line="240" w:lineRule="exact"/>
        <w:jc w:val="left"/>
        <w:rPr>
          <w:rFonts w:ascii="宋体" w:hAnsi="宋体" w:eastAsia="宋体" w:cs="宋体"/>
          <w:sz w:val="18"/>
          <w:szCs w:val="18"/>
        </w:rPr>
      </w:pPr>
      <w:r>
        <w:rPr>
          <w:rFonts w:ascii="宋体" w:hAnsi="宋体" w:eastAsia="宋体" w:cs="宋体"/>
          <w:sz w:val="18"/>
          <w:szCs w:val="18"/>
        </w:rPr>
        <w:t>公司报告期无优先股股东持股情况。</w:t>
      </w:r>
    </w:p>
    <w:p>
      <w:pPr>
        <w:keepNext/>
        <w:keepLines/>
        <w:spacing w:before="300" w:after="300" w:line="280" w:lineRule="exact"/>
        <w:jc w:val="left"/>
        <w:outlineLvl w:val="3"/>
        <w:rPr>
          <w:rFonts w:ascii="宋体" w:hAnsi="宋体" w:eastAsia="宋体" w:cs="宋体"/>
          <w:b/>
          <w:bCs/>
          <w:sz w:val="18"/>
          <w:szCs w:val="18"/>
        </w:rPr>
      </w:pPr>
      <w:bookmarkStart w:id="10" w:name="_Toc988899"/>
      <w:r>
        <w:rPr>
          <w:rFonts w:ascii="宋体" w:hAnsi="宋体" w:eastAsia="宋体" w:cs="宋体"/>
          <w:b/>
          <w:bCs/>
          <w:sz w:val="18"/>
          <w:szCs w:val="18"/>
        </w:rPr>
        <w:t>（3） 以方框图形式披露公司与实际控制人之间的产权及控制关系</w:t>
      </w:r>
      <w:bookmarkEnd w:id="10"/>
    </w:p>
    <w:p>
      <w:pPr>
        <w:spacing w:before="40" w:after="40" w:line="0" w:lineRule="exact"/>
        <w:jc w:val="center"/>
        <w:rPr>
          <w:rFonts w:ascii="Times New Roman" w:hAnsi="Times New Roman" w:eastAsia="宋体" w:cs="Times New Roman"/>
        </w:rPr>
      </w:pPr>
      <w:r>
        <w:rPr>
          <w:rFonts w:ascii="Times New Roman" w:hAnsi="Times New Roman" w:eastAsia="宋体" w:cs="Times New Roman"/>
        </w:rPr>
        <w:drawing>
          <wp:inline distT="0" distB="0" distL="0" distR="0">
            <wp:extent cx="4943475" cy="25812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7" cstate="print"/>
                    <a:stretch>
                      <a:fillRect/>
                    </a:stretch>
                  </pic:blipFill>
                  <pic:spPr>
                    <a:xfrm>
                      <a:off x="0" y="0"/>
                      <a:ext cx="4943475" cy="2581275"/>
                    </a:xfrm>
                    <a:prstGeom prst="rect">
                      <a:avLst/>
                    </a:prstGeom>
                  </pic:spPr>
                </pic:pic>
              </a:graphicData>
            </a:graphic>
          </wp:inline>
        </w:drawing>
      </w:r>
    </w:p>
    <w:p>
      <w:pPr>
        <w:keepNext/>
        <w:keepLines/>
        <w:spacing w:before="300" w:after="300" w:line="280" w:lineRule="exact"/>
        <w:jc w:val="left"/>
        <w:outlineLvl w:val="2"/>
        <w:rPr>
          <w:rFonts w:ascii="宋体" w:hAnsi="宋体" w:eastAsia="宋体" w:cs="宋体"/>
          <w:b/>
          <w:bCs/>
          <w:sz w:val="21"/>
          <w:szCs w:val="21"/>
        </w:rPr>
      </w:pPr>
      <w:bookmarkStart w:id="11" w:name="_Toc988900"/>
      <w:r>
        <w:rPr>
          <w:rFonts w:ascii="宋体" w:hAnsi="宋体" w:eastAsia="宋体" w:cs="宋体"/>
          <w:b/>
          <w:bCs/>
          <w:sz w:val="21"/>
          <w:szCs w:val="21"/>
        </w:rPr>
        <w:t>5、在年度报告批准报出日存续的债券情况</w:t>
      </w:r>
      <w:bookmarkEnd w:id="11"/>
    </w:p>
    <w:p>
      <w:pPr>
        <w:spacing w:before="100" w:after="100" w:line="240" w:lineRule="exact"/>
        <w:jc w:val="left"/>
        <w:rPr>
          <w:rFonts w:ascii="宋体" w:hAnsi="宋体" w:eastAsia="宋体" w:cs="宋体"/>
          <w:sz w:val="18"/>
          <w:szCs w:val="18"/>
        </w:rPr>
      </w:pPr>
      <w:r>
        <w:rPr>
          <w:rFonts w:ascii="宋体" w:hAnsi="宋体" w:eastAsia="宋体" w:cs="宋体"/>
          <w:sz w:val="18"/>
          <w:szCs w:val="18"/>
        </w:rPr>
        <w:t xml:space="preserve">□适用 </w:t>
      </w:r>
      <w:r>
        <w:rPr>
          <w:rFonts w:ascii="宋体" w:hAnsi="宋体" w:eastAsia="宋体" w:cs="宋体"/>
          <w:sz w:val="18"/>
          <w:szCs w:val="18"/>
        </w:rPr>
        <w:sym w:font="Wingdings 2" w:char="F052"/>
      </w:r>
      <w:r>
        <w:rPr>
          <w:rFonts w:ascii="宋体" w:hAnsi="宋体" w:eastAsia="宋体" w:cs="宋体"/>
          <w:sz w:val="18"/>
          <w:szCs w:val="18"/>
        </w:rPr>
        <w:t>不适用</w:t>
      </w:r>
    </w:p>
    <w:p>
      <w:pPr>
        <w:keepNext/>
        <w:keepLines/>
        <w:spacing w:before="300" w:after="300" w:line="320" w:lineRule="exact"/>
        <w:jc w:val="left"/>
        <w:outlineLvl w:val="1"/>
        <w:rPr>
          <w:rFonts w:ascii="宋体" w:hAnsi="宋体" w:eastAsia="宋体" w:cs="宋体"/>
          <w:b/>
          <w:bCs/>
          <w:sz w:val="24"/>
          <w:szCs w:val="24"/>
        </w:rPr>
      </w:pPr>
      <w:bookmarkStart w:id="12" w:name="_Toc988901"/>
      <w:r>
        <w:rPr>
          <w:rFonts w:ascii="宋体" w:hAnsi="宋体" w:eastAsia="宋体" w:cs="宋体"/>
          <w:b/>
          <w:bCs/>
          <w:sz w:val="24"/>
          <w:szCs w:val="24"/>
        </w:rPr>
        <w:t>三、重要事项</w:t>
      </w:r>
      <w:bookmarkEnd w:id="12"/>
    </w:p>
    <w:p>
      <w:pPr>
        <w:pStyle w:val="2"/>
        <w:keepNext w:val="0"/>
        <w:keepLines w:val="0"/>
        <w:widowControl/>
        <w:suppressLineNumbers w:val="0"/>
      </w:pPr>
      <w:r>
        <w:rPr>
          <w:rFonts w:hint="eastAsia" w:ascii="宋体" w:hAnsi="宋体" w:eastAsia="宋体" w:cs="宋体"/>
          <w:sz w:val="18"/>
          <w:szCs w:val="18"/>
        </w:rPr>
        <w:t>无</w:t>
      </w:r>
    </w:p>
    <w:sectPr>
      <w:headerReference r:id="rId3" w:type="default"/>
      <w:footerReference r:id="rId4" w:type="default"/>
      <w:pgSz w:w="11905" w:h="16840"/>
      <w:pgMar w:top="850" w:right="1134" w:bottom="850" w:left="1134" w:header="850" w:footer="992" w:gutter="0"/>
      <w:cols w:space="720" w:num="1"/>
      <w:docGrid w:type="linesAndChar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Wingdings 2">
    <w:panose1 w:val="05020102010507070707"/>
    <w:charset w:val="00"/>
    <w:family w:val="auto"/>
    <w:pitch w:val="default"/>
    <w:sig w:usb0="00000000" w:usb1="00000000" w:usb2="00000000" w:usb3="00000000" w:csb0="80000000"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w:rPr>
        <w:rFonts w:ascii="仿宋" w:eastAsia="仿宋"/>
        <w:sz w:val="21"/>
        <w:szCs w:val="21"/>
      </w:rPr>
      <w:fldChar w:fldCharType="begin"/>
    </w:r>
    <w:r>
      <w:rPr>
        <w:rFonts w:ascii="仿宋" w:eastAsia="仿宋"/>
        <w:sz w:val="21"/>
        <w:szCs w:val="21"/>
      </w:rPr>
      <w:instrText xml:space="preserve">PAGE   \* MERGEFORMAT</w:instrText>
    </w:r>
    <w:r>
      <w:rPr>
        <w:rFonts w:ascii="仿宋" w:eastAsia="仿宋"/>
        <w:sz w:val="21"/>
        <w:szCs w:val="21"/>
      </w:rPr>
      <w:fldChar w:fldCharType="separate"/>
    </w:r>
    <w:r>
      <w:rPr>
        <w:rFonts w:ascii="仿宋" w:eastAsia="仿宋"/>
        <w:sz w:val="21"/>
        <w:szCs w:val="21"/>
      </w:rPr>
      <w:t>1</w:t>
    </w:r>
    <w:r>
      <w:rPr>
        <w:rFonts w:ascii="仿宋" w:eastAsia="仿宋"/>
        <w:sz w:val="21"/>
        <w:szCs w:val="21"/>
      </w:rP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6" w:space="1"/>
      </w:pBdr>
      <w:jc w:val="right"/>
    </w:pPr>
    <w:r>
      <w:rPr>
        <w:rFonts w:ascii="宋体" w:eastAsia="宋体"/>
        <w:sz w:val="18"/>
        <w:szCs w:val="18"/>
      </w:rPr>
      <w:t>德华兔宝宝装饰新材股份有限公司2023年年度报告摘要</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oNotDisplayPageBoundaries w:val="1"/>
  <w:documentProtection w:enforcement="0"/>
  <w:compat>
    <w:doNotExpandShiftReturn/>
    <w:useFELayout/>
    <w:compatSetting w:name="compatibilityMode" w:uri="http://schemas.microsoft.com/office/word" w:val="14"/>
  </w:compat>
  <w:docVars>
    <w:docVar w:name="commondata" w:val="eyJoZGlkIjoiOWUwNjBhNGIxZjE5ZGM2MTY0MTM5ZTUwOWZmNzVlY2UifQ=="/>
  </w:docVars>
  <w:rsids>
    <w:rsidRoot w:val="00000000"/>
    <w:rsid w:val="05B9535C"/>
    <w:rsid w:val="32C44309"/>
    <w:rsid w:val="4929353A"/>
    <w:rsid w:val="734A1F8B"/>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sz w:val="21"/>
      <w:szCs w:val="22"/>
    </w:rPr>
  </w:style>
  <w:style w:type="character" w:default="1" w:styleId="5">
    <w:name w:val="Default Paragraph Font"/>
    <w:autoRedefine/>
    <w:semiHidden/>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Normal (Web)"/>
    <w:basedOn w:val="1"/>
    <w:autoRedefine/>
    <w:uiPriority w:val="0"/>
    <w:pPr>
      <w:spacing w:before="0" w:beforeAutospacing="1" w:after="0" w:afterAutospacing="1"/>
      <w:ind w:left="0" w:right="0"/>
      <w:jc w:val="left"/>
    </w:pPr>
    <w:rPr>
      <w:kern w:val="0"/>
      <w:sz w:val="24"/>
      <w:lang w:val="en-US" w:eastAsia="zh-CN" w:bidi="ar"/>
    </w:rPr>
  </w:style>
  <w:style w:type="table" w:styleId="4">
    <w:name w:val="Table Grid"/>
    <w:basedOn w:val="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Pages>7</Pages>
  <TotalTime>0</TotalTime>
  <ScaleCrop>false</ScaleCrop>
  <LinksUpToDate>false</LinksUpToDate>
  <Application>WPS Office_12.1.0.16729_F1E327BC-269C-435d-A152-05C5408002CA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2024-04-20T06:07:00Z</dcterms:created>
  <dc:creator>admin</dc:creator>
  <cp:lastModifiedBy>沈煜</cp:lastModifiedBy>
  <dcterms:modified xsi:type="dcterms:W3CDTF">2024-04-24T06:27:59Z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2052-12.1.0.16729</vt:lpwstr>
  </property>
  <property fmtid="{D5CDD505-2E9C-101B-9397-08002B2CF9AE}" pid="3" name="ICV">
    <vt:lpwstr>7DB69AAEBC8B4ECE9A7AA9D0B6100CEA_12</vt:lpwstr>
  </property>
</Properties>
</file>