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after="1000" w:line="560" w:lineRule="exact"/>
        <w:jc w:val="center"/>
        <w:rPr>
          <w:rFonts w:hint="default" w:ascii="宋体" w:hAnsi="宋体" w:eastAsia="宋体" w:cs="宋体"/>
          <w:sz w:val="24"/>
          <w:szCs w:val="24"/>
          <w:lang w:val="en-US" w:eastAsia="zh-CN"/>
        </w:rPr>
      </w:pPr>
      <w:r>
        <w:rPr>
          <w:rFonts w:ascii="宋体" w:hAnsi="宋体" w:eastAsia="宋体" w:cs="宋体"/>
          <w:sz w:val="24"/>
          <w:szCs w:val="24"/>
        </w:rPr>
        <w:t xml:space="preserve">证券代码：002043            证券简称：兔 宝 宝   </w:t>
      </w:r>
      <w:r>
        <w:rPr>
          <w:rFonts w:hint="eastAsia" w:ascii="宋体" w:hAnsi="宋体" w:eastAsia="宋体" w:cs="宋体"/>
          <w:sz w:val="24"/>
          <w:szCs w:val="24"/>
          <w:lang w:val="en-US" w:eastAsia="zh-CN"/>
        </w:rPr>
        <w:t xml:space="preserve">   </w:t>
      </w:r>
      <w:r>
        <w:rPr>
          <w:rFonts w:ascii="宋体" w:hAnsi="宋体" w:eastAsia="宋体" w:cs="宋体"/>
          <w:sz w:val="24"/>
          <w:szCs w:val="24"/>
        </w:rPr>
        <w:t xml:space="preserve">      公告编号：202</w:t>
      </w:r>
      <w:r>
        <w:rPr>
          <w:rFonts w:hint="eastAsia" w:ascii="宋体" w:hAnsi="宋体" w:cs="宋体"/>
          <w:sz w:val="24"/>
          <w:szCs w:val="24"/>
          <w:lang w:val="en-US" w:eastAsia="zh-CN"/>
        </w:rPr>
        <w:t>3</w:t>
      </w:r>
      <w:r>
        <w:rPr>
          <w:rFonts w:ascii="宋体" w:hAnsi="宋体" w:eastAsia="宋体" w:cs="宋体"/>
          <w:sz w:val="24"/>
          <w:szCs w:val="24"/>
        </w:rPr>
        <w:t>-</w:t>
      </w:r>
      <w:r>
        <w:rPr>
          <w:rFonts w:hint="eastAsia" w:ascii="宋体" w:hAnsi="宋体" w:eastAsia="宋体" w:cs="宋体"/>
          <w:sz w:val="24"/>
          <w:szCs w:val="24"/>
          <w:lang w:val="en-US" w:eastAsia="zh-CN"/>
        </w:rPr>
        <w:t>024</w:t>
      </w:r>
    </w:p>
    <w:p>
      <w:pPr>
        <w:spacing w:before="0" w:after="468" w:afterAutospacing="0" w:line="400" w:lineRule="exact"/>
        <w:jc w:val="center"/>
        <w:rPr>
          <w:rFonts w:ascii="宋体" w:hAnsi="宋体" w:eastAsia="宋体" w:cs="宋体"/>
          <w:b/>
          <w:bCs/>
          <w:sz w:val="36"/>
          <w:szCs w:val="36"/>
        </w:rPr>
      </w:pPr>
      <w:r>
        <w:rPr>
          <w:rFonts w:ascii="宋体" w:hAnsi="宋体" w:eastAsia="宋体" w:cs="宋体"/>
          <w:b/>
          <w:bCs/>
          <w:sz w:val="36"/>
          <w:szCs w:val="36"/>
        </w:rPr>
        <w:t>德华兔宝宝装饰新材股份有限公司</w:t>
      </w:r>
    </w:p>
    <w:p>
      <w:pPr>
        <w:spacing w:beforeAutospacing="0" w:after="468" w:afterAutospacing="0" w:line="400" w:lineRule="exact"/>
        <w:jc w:val="center"/>
        <w:rPr>
          <w:rFonts w:ascii="宋体" w:hAnsi="宋体" w:eastAsia="宋体" w:cs="宋体"/>
          <w:b/>
          <w:bCs/>
          <w:sz w:val="36"/>
          <w:szCs w:val="36"/>
        </w:rPr>
      </w:pPr>
      <w:r>
        <w:rPr>
          <w:rFonts w:ascii="宋体" w:hAnsi="宋体" w:eastAsia="宋体" w:cs="宋体"/>
          <w:b/>
          <w:bCs/>
          <w:sz w:val="36"/>
          <w:szCs w:val="36"/>
        </w:rPr>
        <w:t>2022年年度报告摘要</w:t>
      </w:r>
    </w:p>
    <w:p>
      <w:pPr>
        <w:keepNext/>
        <w:keepLines/>
        <w:spacing w:beforeAutospacing="0" w:after="300" w:line="320" w:lineRule="exact"/>
        <w:jc w:val="left"/>
        <w:outlineLvl w:val="1"/>
        <w:rPr>
          <w:rFonts w:ascii="宋体" w:hAnsi="宋体" w:eastAsia="宋体" w:cs="宋体"/>
          <w:b/>
          <w:bCs/>
          <w:sz w:val="24"/>
          <w:szCs w:val="24"/>
        </w:rPr>
      </w:pPr>
      <w:bookmarkStart w:id="0" w:name="_Toc988889"/>
      <w:r>
        <w:rPr>
          <w:rFonts w:ascii="宋体" w:hAnsi="宋体" w:eastAsia="宋体" w:cs="宋体"/>
          <w:b/>
          <w:bCs/>
          <w:sz w:val="24"/>
          <w:szCs w:val="24"/>
        </w:rPr>
        <w:t>一、重要提示</w:t>
      </w:r>
      <w:bookmarkEnd w:id="0"/>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本年度报告摘要来自年度报告全文，为全面了解本公司的经营成果、财务状况及未来发展规划，投资者应当到证监会指定媒体仔细阅读年度报告全文。</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所有董事均已出席了审议本报告的董事会会议。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非标准审计意见提示</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董事会审议的报告期利润分配预案或公积金转增股本预案</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是否以公积金转增股本</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公司经本次董事会审议通过的利润分配预案为：以公司2022年权益分派实施时股权登记日总股本为基数，向全体股东每10股派发现金红利5.00元（含税），送红股0股（含税），不以公积金转增股本。</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董事会决议通过的本报告期优先股利润分配预案</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0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1" w:name="_Toc988890"/>
      <w:r>
        <w:rPr>
          <w:rFonts w:ascii="宋体" w:hAnsi="宋体" w:eastAsia="宋体" w:cs="宋体"/>
          <w:b/>
          <w:bCs/>
          <w:sz w:val="24"/>
          <w:szCs w:val="24"/>
        </w:rPr>
        <w:t>二、公司基本情况</w:t>
      </w:r>
      <w:bookmarkEnd w:id="1"/>
    </w:p>
    <w:p>
      <w:pPr>
        <w:keepNext/>
        <w:keepLines/>
        <w:spacing w:before="300" w:after="300" w:line="280" w:lineRule="exact"/>
        <w:jc w:val="left"/>
        <w:outlineLvl w:val="2"/>
        <w:rPr>
          <w:rFonts w:ascii="宋体" w:hAnsi="宋体" w:eastAsia="宋体" w:cs="宋体"/>
          <w:b/>
          <w:bCs/>
          <w:sz w:val="21"/>
          <w:szCs w:val="21"/>
        </w:rPr>
      </w:pPr>
      <w:bookmarkStart w:id="2" w:name="_Toc988891"/>
      <w:r>
        <w:rPr>
          <w:rFonts w:ascii="宋体" w:hAnsi="宋体" w:eastAsia="宋体" w:cs="宋体"/>
          <w:b/>
          <w:bCs/>
          <w:sz w:val="21"/>
          <w:szCs w:val="21"/>
        </w:rPr>
        <w:t>1、公司简介</w:t>
      </w:r>
      <w:bookmarkEnd w:id="2"/>
    </w:p>
    <w:tbl>
      <w:tblPr>
        <w:tblStyle w:val="3"/>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116"/>
        <w:gridCol w:w="3587"/>
        <w:gridCol w:w="977"/>
        <w:gridCol w:w="1480"/>
        <w:gridCol w:w="148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1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股票简称</w:t>
            </w:r>
          </w:p>
        </w:tc>
        <w:tc>
          <w:tcPr>
            <w:tcW w:w="456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兔宝宝</w:t>
            </w:r>
          </w:p>
        </w:tc>
        <w:tc>
          <w:tcPr>
            <w:tcW w:w="148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股票代码</w:t>
            </w:r>
          </w:p>
        </w:tc>
        <w:tc>
          <w:tcPr>
            <w:tcW w:w="148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002043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1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股票上市交易所</w:t>
            </w:r>
          </w:p>
        </w:tc>
        <w:tc>
          <w:tcPr>
            <w:tcW w:w="7524"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深圳证券交易所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1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联系人和联系方式</w:t>
            </w:r>
          </w:p>
        </w:tc>
        <w:tc>
          <w:tcPr>
            <w:tcW w:w="358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董事会秘书</w:t>
            </w:r>
          </w:p>
        </w:tc>
        <w:tc>
          <w:tcPr>
            <w:tcW w:w="3937"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证券事务代表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1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姓名</w:t>
            </w:r>
          </w:p>
        </w:tc>
        <w:tc>
          <w:tcPr>
            <w:tcW w:w="35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丁涛</w:t>
            </w:r>
          </w:p>
        </w:tc>
        <w:tc>
          <w:tcPr>
            <w:tcW w:w="3937"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朱丹莎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1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办公地址</w:t>
            </w:r>
          </w:p>
        </w:tc>
        <w:tc>
          <w:tcPr>
            <w:tcW w:w="35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浙江省德清县阜溪街道临溪街588号</w:t>
            </w:r>
          </w:p>
        </w:tc>
        <w:tc>
          <w:tcPr>
            <w:tcW w:w="3937"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浙江省德清县阜溪街道临溪街588号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1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传真</w:t>
            </w:r>
          </w:p>
        </w:tc>
        <w:tc>
          <w:tcPr>
            <w:tcW w:w="35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0572-8822225</w:t>
            </w:r>
          </w:p>
        </w:tc>
        <w:tc>
          <w:tcPr>
            <w:tcW w:w="3937"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0572-8822225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1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电话</w:t>
            </w:r>
          </w:p>
        </w:tc>
        <w:tc>
          <w:tcPr>
            <w:tcW w:w="35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0572-8405635</w:t>
            </w:r>
          </w:p>
        </w:tc>
        <w:tc>
          <w:tcPr>
            <w:tcW w:w="3937"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0572-8405635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1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电子信箱</w:t>
            </w:r>
          </w:p>
        </w:tc>
        <w:tc>
          <w:tcPr>
            <w:tcW w:w="35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dingtao@dhwooden.com</w:t>
            </w:r>
          </w:p>
        </w:tc>
        <w:tc>
          <w:tcPr>
            <w:tcW w:w="3937"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zds@dhwooden.com</w:t>
            </w:r>
          </w:p>
        </w:tc>
      </w:tr>
    </w:tbl>
    <w:p>
      <w:pPr>
        <w:keepNext/>
        <w:keepLines/>
        <w:spacing w:before="300" w:after="300" w:line="280" w:lineRule="exact"/>
        <w:jc w:val="left"/>
        <w:outlineLvl w:val="2"/>
        <w:rPr>
          <w:rFonts w:ascii="宋体" w:hAnsi="宋体" w:eastAsia="宋体" w:cs="宋体"/>
          <w:b/>
          <w:bCs/>
          <w:sz w:val="21"/>
          <w:szCs w:val="21"/>
        </w:rPr>
      </w:pPr>
      <w:bookmarkStart w:id="3" w:name="_Toc988892"/>
      <w:r>
        <w:rPr>
          <w:rFonts w:ascii="宋体" w:hAnsi="宋体" w:eastAsia="宋体" w:cs="宋体"/>
          <w:b/>
          <w:bCs/>
          <w:sz w:val="21"/>
          <w:szCs w:val="21"/>
        </w:rPr>
        <w:t>2、报告期主要业务或产品简介</w:t>
      </w:r>
      <w:bookmarkEnd w:id="3"/>
    </w:p>
    <w:p>
      <w:pPr>
        <w:pStyle w:val="2"/>
        <w:keepNext w:val="0"/>
        <w:keepLines w:val="0"/>
        <w:widowControl/>
        <w:suppressLineNumbers w:val="0"/>
        <w:spacing w:before="40" w:beforeAutospacing="0" w:after="40" w:afterAutospacing="0" w:line="288"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公司创立于1992年，历经30年的发展，已成为国内高端环保家具板材产销规模最大的企业之一，公司以推进行业环保进程为己任，始终坚持研发和生产高品质、绿色环保的装饰材料，致力于成为国内领先的装饰材料综合服务运营商。秉承“兔宝宝，让家更好”的企业使命，以环保家具板材为依托，拓展全屋木作定制家居业务体系，全力为消费者打造绿色、健康、环保的家居环境。</w:t>
      </w:r>
    </w:p>
    <w:p>
      <w:pPr>
        <w:pStyle w:val="2"/>
        <w:keepNext w:val="0"/>
        <w:keepLines w:val="0"/>
        <w:widowControl/>
        <w:suppressLineNumbers w:val="0"/>
        <w:spacing w:before="40" w:beforeAutospacing="0" w:after="40" w:afterAutospacing="0" w:line="288"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公司目前有装饰材料和定制家居两大业务。其中装饰材料业务通过经销商模式实现销售，销售渠道主要有门店零售、家装公司、家具厂以及工装渠道，产品包括家具板材、基础板材、石膏板等主材产品和科技木皮、装饰纸、封边条、五金和胶黏剂等配套辅材产品；定制家居业务通过经销商模式和大宗模式实现销售，产品包括有定制衣柜、橱柜、地板、木门、墙板等。</w:t>
      </w:r>
    </w:p>
    <w:p>
      <w:pPr>
        <w:pStyle w:val="2"/>
        <w:keepNext w:val="0"/>
        <w:keepLines w:val="0"/>
        <w:widowControl/>
        <w:suppressLineNumbers w:val="0"/>
        <w:spacing w:before="40" w:beforeAutospacing="0" w:after="40" w:afterAutospacing="0" w:line="288" w:lineRule="auto"/>
        <w:ind w:left="0" w:right="0" w:firstLine="420"/>
        <w:jc w:val="both"/>
        <w:rPr>
          <w:rFonts w:hint="default" w:ascii="宋体" w:hAnsi="宋体" w:eastAsia="宋体" w:cs="宋体"/>
          <w:sz w:val="21"/>
          <w:szCs w:val="21"/>
        </w:rPr>
      </w:pPr>
      <w:r>
        <w:rPr>
          <w:rFonts w:hint="default" w:ascii="宋体" w:hAnsi="宋体" w:eastAsia="宋体" w:cs="宋体"/>
          <w:sz w:val="21"/>
          <w:szCs w:val="21"/>
        </w:rPr>
        <w:t>报告期内公司主要经营业务和主要业绩驱动因素未发生重大变化。</w:t>
      </w:r>
    </w:p>
    <w:p>
      <w:pPr>
        <w:keepNext/>
        <w:keepLines/>
        <w:spacing w:before="300" w:after="300" w:line="280" w:lineRule="exact"/>
        <w:jc w:val="left"/>
        <w:outlineLvl w:val="2"/>
        <w:rPr>
          <w:rFonts w:ascii="宋体" w:hAnsi="宋体" w:eastAsia="宋体" w:cs="宋体"/>
          <w:b/>
          <w:bCs/>
          <w:sz w:val="21"/>
          <w:szCs w:val="21"/>
        </w:rPr>
      </w:pPr>
      <w:bookmarkStart w:id="4" w:name="_Toc988893"/>
      <w:r>
        <w:rPr>
          <w:rFonts w:ascii="宋体" w:hAnsi="宋体" w:eastAsia="宋体" w:cs="宋体"/>
          <w:b/>
          <w:bCs/>
          <w:sz w:val="21"/>
          <w:szCs w:val="21"/>
        </w:rPr>
        <w:t>3、主要会计数据和财务指标</w:t>
      </w:r>
      <w:bookmarkEnd w:id="4"/>
    </w:p>
    <w:p>
      <w:pPr>
        <w:keepNext/>
        <w:keepLines/>
        <w:spacing w:before="300" w:after="300" w:line="280" w:lineRule="exact"/>
        <w:jc w:val="left"/>
        <w:outlineLvl w:val="3"/>
        <w:rPr>
          <w:rFonts w:ascii="宋体" w:hAnsi="宋体" w:eastAsia="宋体" w:cs="宋体"/>
          <w:b/>
          <w:bCs/>
          <w:sz w:val="18"/>
          <w:szCs w:val="18"/>
        </w:rPr>
      </w:pPr>
      <w:bookmarkStart w:id="5" w:name="_Toc988894"/>
      <w:r>
        <w:rPr>
          <w:rFonts w:ascii="宋体" w:hAnsi="宋体" w:eastAsia="宋体" w:cs="宋体"/>
          <w:b/>
          <w:bCs/>
          <w:sz w:val="18"/>
          <w:szCs w:val="18"/>
        </w:rPr>
        <w:t>（1） 近三年主要会计数据和财务指标</w:t>
      </w:r>
      <w:bookmarkEnd w:id="5"/>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公司是否需追溯调整或重述以前年度会计数据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233"/>
        <w:gridCol w:w="1827"/>
        <w:gridCol w:w="2060"/>
        <w:gridCol w:w="1592"/>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8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2022年末</w:t>
            </w:r>
          </w:p>
        </w:tc>
        <w:tc>
          <w:tcPr>
            <w:tcW w:w="20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2021年末</w:t>
            </w:r>
          </w:p>
        </w:tc>
        <w:tc>
          <w:tcPr>
            <w:tcW w:w="15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本年末比上年末增减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2020年末</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总资产</w:t>
            </w:r>
          </w:p>
        </w:tc>
        <w:tc>
          <w:tcPr>
            <w:tcW w:w="18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5,256,444,224.17</w:t>
            </w:r>
          </w:p>
        </w:tc>
        <w:tc>
          <w:tcPr>
            <w:tcW w:w="20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5,612,176,602.24</w:t>
            </w:r>
          </w:p>
        </w:tc>
        <w:tc>
          <w:tcPr>
            <w:tcW w:w="1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5,279,564,958.61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归属于上市公司股东的净资产</w:t>
            </w:r>
          </w:p>
        </w:tc>
        <w:tc>
          <w:tcPr>
            <w:tcW w:w="18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2,347,272,017.51</w:t>
            </w:r>
          </w:p>
        </w:tc>
        <w:tc>
          <w:tcPr>
            <w:tcW w:w="20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2,130,138,683.21</w:t>
            </w:r>
          </w:p>
        </w:tc>
        <w:tc>
          <w:tcPr>
            <w:tcW w:w="1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1,860,605,612.44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8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w:t>
            </w:r>
          </w:p>
        </w:tc>
        <w:tc>
          <w:tcPr>
            <w:tcW w:w="20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w:t>
            </w:r>
          </w:p>
        </w:tc>
        <w:tc>
          <w:tcPr>
            <w:tcW w:w="15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本年比上年增减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2020年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营业收入</w:t>
            </w:r>
          </w:p>
        </w:tc>
        <w:tc>
          <w:tcPr>
            <w:tcW w:w="18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8,917,387,348.25</w:t>
            </w:r>
          </w:p>
        </w:tc>
        <w:tc>
          <w:tcPr>
            <w:tcW w:w="20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9,425,925,257.57</w:t>
            </w:r>
          </w:p>
        </w:tc>
        <w:tc>
          <w:tcPr>
            <w:tcW w:w="1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6,465,756,931.23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归属于上市公司股东的净利润</w:t>
            </w:r>
          </w:p>
        </w:tc>
        <w:tc>
          <w:tcPr>
            <w:tcW w:w="18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445,385,024.33</w:t>
            </w:r>
          </w:p>
        </w:tc>
        <w:tc>
          <w:tcPr>
            <w:tcW w:w="20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711,611,887.02</w:t>
            </w:r>
          </w:p>
        </w:tc>
        <w:tc>
          <w:tcPr>
            <w:tcW w:w="1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-37.41%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402,714,881.10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归属于上市公司股东的扣除非经常性损益的净利润</w:t>
            </w:r>
          </w:p>
        </w:tc>
        <w:tc>
          <w:tcPr>
            <w:tcW w:w="18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346,262,522.46</w:t>
            </w:r>
          </w:p>
        </w:tc>
        <w:tc>
          <w:tcPr>
            <w:tcW w:w="20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581,504,497.28</w:t>
            </w:r>
          </w:p>
        </w:tc>
        <w:tc>
          <w:tcPr>
            <w:tcW w:w="1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-40.45%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416,385,770.74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经营活动产生的现金流量净额</w:t>
            </w:r>
          </w:p>
        </w:tc>
        <w:tc>
          <w:tcPr>
            <w:tcW w:w="18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933,542,316.79</w:t>
            </w:r>
          </w:p>
        </w:tc>
        <w:tc>
          <w:tcPr>
            <w:tcW w:w="20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860,285,523.06</w:t>
            </w:r>
          </w:p>
        </w:tc>
        <w:tc>
          <w:tcPr>
            <w:tcW w:w="1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812,654,248.63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基本每股收益（元/股）</w:t>
            </w:r>
          </w:p>
        </w:tc>
        <w:tc>
          <w:tcPr>
            <w:tcW w:w="18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0.58</w:t>
            </w:r>
          </w:p>
        </w:tc>
        <w:tc>
          <w:tcPr>
            <w:tcW w:w="20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0.98</w:t>
            </w:r>
          </w:p>
        </w:tc>
        <w:tc>
          <w:tcPr>
            <w:tcW w:w="1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-40.82%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稀释每股收益（元/股）</w:t>
            </w:r>
          </w:p>
        </w:tc>
        <w:tc>
          <w:tcPr>
            <w:tcW w:w="18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0.58</w:t>
            </w:r>
          </w:p>
        </w:tc>
        <w:tc>
          <w:tcPr>
            <w:tcW w:w="20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0.97</w:t>
            </w:r>
          </w:p>
        </w:tc>
        <w:tc>
          <w:tcPr>
            <w:tcW w:w="1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-40.21%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23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加权平均净资产收益率</w:t>
            </w:r>
          </w:p>
        </w:tc>
        <w:tc>
          <w:tcPr>
            <w:tcW w:w="182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19.93%</w:t>
            </w:r>
          </w:p>
        </w:tc>
        <w:tc>
          <w:tcPr>
            <w:tcW w:w="20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37.49%</w:t>
            </w:r>
          </w:p>
        </w:tc>
        <w:tc>
          <w:tcPr>
            <w:tcW w:w="159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-17.56%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22.59%</w:t>
            </w:r>
          </w:p>
        </w:tc>
      </w:tr>
    </w:tbl>
    <w:p>
      <w:pPr>
        <w:keepNext/>
        <w:keepLines/>
        <w:spacing w:before="300" w:after="300" w:line="280" w:lineRule="exact"/>
        <w:jc w:val="left"/>
        <w:outlineLvl w:val="3"/>
        <w:rPr>
          <w:rFonts w:ascii="宋体" w:hAnsi="宋体" w:eastAsia="宋体" w:cs="宋体"/>
          <w:b/>
          <w:bCs/>
          <w:sz w:val="18"/>
          <w:szCs w:val="18"/>
        </w:rPr>
      </w:pPr>
      <w:bookmarkStart w:id="6" w:name="_Toc988895"/>
      <w:r>
        <w:rPr>
          <w:rFonts w:ascii="宋体" w:hAnsi="宋体" w:eastAsia="宋体" w:cs="宋体"/>
          <w:b/>
          <w:bCs/>
          <w:sz w:val="18"/>
          <w:szCs w:val="18"/>
        </w:rPr>
        <w:t>（2） 分季度主要会计数据</w:t>
      </w:r>
      <w:bookmarkEnd w:id="6"/>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4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664"/>
        <w:gridCol w:w="1774"/>
        <w:gridCol w:w="1787"/>
        <w:gridCol w:w="1708"/>
        <w:gridCol w:w="17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64"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77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第一季度</w:t>
            </w:r>
          </w:p>
        </w:tc>
        <w:tc>
          <w:tcPr>
            <w:tcW w:w="178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第二季度</w:t>
            </w:r>
          </w:p>
        </w:tc>
        <w:tc>
          <w:tcPr>
            <w:tcW w:w="17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第三季度</w:t>
            </w:r>
          </w:p>
        </w:tc>
        <w:tc>
          <w:tcPr>
            <w:tcW w:w="170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第四季度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营业收入</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1,626,559,690.87</w:t>
            </w:r>
          </w:p>
        </w:tc>
        <w:tc>
          <w:tcPr>
            <w:tcW w:w="17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2,105,812,758.30</w:t>
            </w:r>
          </w:p>
        </w:tc>
        <w:tc>
          <w:tcPr>
            <w:tcW w:w="17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2,141,087,318.81</w:t>
            </w: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3,043,927,580.27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归属于上市公司股东的净利润</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94,903,072.28</w:t>
            </w:r>
          </w:p>
        </w:tc>
        <w:tc>
          <w:tcPr>
            <w:tcW w:w="17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171,721,208.12</w:t>
            </w:r>
          </w:p>
        </w:tc>
        <w:tc>
          <w:tcPr>
            <w:tcW w:w="17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122,665,869.30</w:t>
            </w: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56,094,874.63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归属于上市公司股东的扣除非经常性损益的净利润</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77,358,561.77</w:t>
            </w:r>
          </w:p>
        </w:tc>
        <w:tc>
          <w:tcPr>
            <w:tcW w:w="17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136,970,860.50</w:t>
            </w:r>
          </w:p>
        </w:tc>
        <w:tc>
          <w:tcPr>
            <w:tcW w:w="17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115,980,714.43</w:t>
            </w: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15,952,385.76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6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经营活动产生的现金流量净额</w:t>
            </w:r>
          </w:p>
        </w:tc>
        <w:tc>
          <w:tcPr>
            <w:tcW w:w="177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-391,364,907.58</w:t>
            </w:r>
          </w:p>
        </w:tc>
        <w:tc>
          <w:tcPr>
            <w:tcW w:w="178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378,902,454.71</w:t>
            </w:r>
          </w:p>
        </w:tc>
        <w:tc>
          <w:tcPr>
            <w:tcW w:w="170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410,269,488.49</w:t>
            </w:r>
          </w:p>
        </w:tc>
        <w:tc>
          <w:tcPr>
            <w:tcW w:w="170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535,735,281.17</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上述财务指标或其加总数是否与公司已披露季度报告、半年度报告相关财务指标存在重大差异</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keepNext/>
        <w:keepLines/>
        <w:spacing w:before="300" w:after="300" w:line="280" w:lineRule="exact"/>
        <w:jc w:val="left"/>
        <w:outlineLvl w:val="2"/>
        <w:rPr>
          <w:rFonts w:ascii="宋体" w:hAnsi="宋体" w:eastAsia="宋体" w:cs="宋体"/>
          <w:b/>
          <w:bCs/>
          <w:sz w:val="21"/>
          <w:szCs w:val="21"/>
        </w:rPr>
      </w:pPr>
      <w:bookmarkStart w:id="7" w:name="_Toc988896"/>
      <w:r>
        <w:rPr>
          <w:rFonts w:ascii="宋体" w:hAnsi="宋体" w:eastAsia="宋体" w:cs="宋体"/>
          <w:b/>
          <w:bCs/>
          <w:sz w:val="21"/>
          <w:szCs w:val="21"/>
        </w:rPr>
        <w:t>4、股本及股东情况</w:t>
      </w:r>
      <w:bookmarkEnd w:id="7"/>
    </w:p>
    <w:p>
      <w:pPr>
        <w:keepNext/>
        <w:keepLines/>
        <w:spacing w:before="300" w:after="300" w:line="280" w:lineRule="exact"/>
        <w:jc w:val="left"/>
        <w:outlineLvl w:val="3"/>
        <w:rPr>
          <w:rFonts w:ascii="宋体" w:hAnsi="宋体" w:eastAsia="宋体" w:cs="宋体"/>
          <w:b/>
          <w:bCs/>
          <w:sz w:val="18"/>
          <w:szCs w:val="18"/>
        </w:rPr>
      </w:pPr>
      <w:bookmarkStart w:id="8" w:name="_Toc988897"/>
      <w:r>
        <w:rPr>
          <w:rFonts w:ascii="宋体" w:hAnsi="宋体" w:eastAsia="宋体" w:cs="宋体"/>
          <w:b/>
          <w:bCs/>
          <w:sz w:val="18"/>
          <w:szCs w:val="18"/>
        </w:rPr>
        <w:t>（1） 普通股股东和表决权恢复的优先股股东数量及前10名股东持股情况表</w:t>
      </w:r>
      <w:bookmarkEnd w:id="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单位：股</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772"/>
        <w:gridCol w:w="566"/>
        <w:gridCol w:w="1045"/>
        <w:gridCol w:w="478"/>
        <w:gridCol w:w="352"/>
        <w:gridCol w:w="692"/>
        <w:gridCol w:w="656"/>
        <w:gridCol w:w="794"/>
        <w:gridCol w:w="161"/>
        <w:gridCol w:w="1234"/>
        <w:gridCol w:w="711"/>
        <w:gridCol w:w="255"/>
        <w:gridCol w:w="85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报告期末普通股股东总数</w:t>
            </w:r>
          </w:p>
        </w:tc>
        <w:tc>
          <w:tcPr>
            <w:tcW w:w="77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44,306</w:t>
            </w:r>
          </w:p>
        </w:tc>
        <w:tc>
          <w:tcPr>
            <w:tcW w:w="1611"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年度报告披露日前一个月末普通股股东总数</w:t>
            </w:r>
          </w:p>
        </w:tc>
        <w:tc>
          <w:tcPr>
            <w:tcW w:w="830"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76,527</w:t>
            </w:r>
          </w:p>
        </w:tc>
        <w:tc>
          <w:tcPr>
            <w:tcW w:w="1348"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报告期末表决权恢复的优先股股东总数</w:t>
            </w:r>
          </w:p>
        </w:tc>
        <w:tc>
          <w:tcPr>
            <w:tcW w:w="7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2361"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年度报告披露日前一个月末表决权恢复的优先股股东总数</w:t>
            </w:r>
          </w:p>
        </w:tc>
        <w:tc>
          <w:tcPr>
            <w:tcW w:w="8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前10名股东持股情况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09" w:type="dxa"/>
            <w:gridSpan w:val="3"/>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1523"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股东性质</w:t>
            </w:r>
          </w:p>
        </w:tc>
        <w:tc>
          <w:tcPr>
            <w:tcW w:w="1044"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持股比例</w:t>
            </w:r>
          </w:p>
        </w:tc>
        <w:tc>
          <w:tcPr>
            <w:tcW w:w="1611" w:type="dxa"/>
            <w:gridSpan w:val="3"/>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持股数量</w:t>
            </w:r>
          </w:p>
        </w:tc>
        <w:tc>
          <w:tcPr>
            <w:tcW w:w="12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持有有限售条件的股份数量</w:t>
            </w:r>
          </w:p>
        </w:tc>
        <w:tc>
          <w:tcPr>
            <w:tcW w:w="1818"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质押、标记或冻结情况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09" w:type="dxa"/>
            <w:gridSpan w:val="3"/>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523"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44"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611" w:type="dxa"/>
            <w:gridSpan w:val="3"/>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股份状态</w:t>
            </w:r>
          </w:p>
        </w:tc>
        <w:tc>
          <w:tcPr>
            <w:tcW w:w="110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0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德华集团控股股份有限公司</w:t>
            </w:r>
          </w:p>
        </w:tc>
        <w:tc>
          <w:tcPr>
            <w:tcW w:w="152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04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29.68%</w:t>
            </w:r>
          </w:p>
        </w:tc>
        <w:tc>
          <w:tcPr>
            <w:tcW w:w="161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229,344,885</w:t>
            </w: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质押</w:t>
            </w:r>
          </w:p>
        </w:tc>
        <w:tc>
          <w:tcPr>
            <w:tcW w:w="11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35" w:hRule="atLeast"/>
        </w:trPr>
        <w:tc>
          <w:tcPr>
            <w:tcW w:w="240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德华创业投资有限公司</w:t>
            </w:r>
          </w:p>
        </w:tc>
        <w:tc>
          <w:tcPr>
            <w:tcW w:w="152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04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6.57%</w:t>
            </w:r>
          </w:p>
        </w:tc>
        <w:tc>
          <w:tcPr>
            <w:tcW w:w="161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50,813,008</w:t>
            </w: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24" w:hRule="atLeast"/>
        </w:trPr>
        <w:tc>
          <w:tcPr>
            <w:tcW w:w="240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漆勇</w:t>
            </w:r>
          </w:p>
        </w:tc>
        <w:tc>
          <w:tcPr>
            <w:tcW w:w="152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4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4.38%</w:t>
            </w:r>
          </w:p>
        </w:tc>
        <w:tc>
          <w:tcPr>
            <w:tcW w:w="161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33,860,000</w:t>
            </w: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25,520,000</w:t>
            </w:r>
          </w:p>
        </w:tc>
        <w:tc>
          <w:tcPr>
            <w:tcW w:w="7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57" w:hRule="atLeast"/>
        </w:trPr>
        <w:tc>
          <w:tcPr>
            <w:tcW w:w="240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丁鸿敏</w:t>
            </w:r>
          </w:p>
        </w:tc>
        <w:tc>
          <w:tcPr>
            <w:tcW w:w="152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4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2.63%</w:t>
            </w:r>
          </w:p>
        </w:tc>
        <w:tc>
          <w:tcPr>
            <w:tcW w:w="161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20,325,204</w:t>
            </w: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15,243,903</w:t>
            </w:r>
          </w:p>
        </w:tc>
        <w:tc>
          <w:tcPr>
            <w:tcW w:w="7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0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德华兔宝宝装饰新材股份有限公司－第二期员工持股计划</w:t>
            </w:r>
          </w:p>
        </w:tc>
        <w:tc>
          <w:tcPr>
            <w:tcW w:w="152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04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w:t>
            </w:r>
          </w:p>
        </w:tc>
        <w:tc>
          <w:tcPr>
            <w:tcW w:w="161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11,170,000</w:t>
            </w: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66" w:hRule="atLeast"/>
        </w:trPr>
        <w:tc>
          <w:tcPr>
            <w:tcW w:w="240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中国工商银行股份有限公司－海富通改革驱动灵活配置混合型证券投资基金</w:t>
            </w:r>
          </w:p>
        </w:tc>
        <w:tc>
          <w:tcPr>
            <w:tcW w:w="152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04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1.39%</w:t>
            </w:r>
          </w:p>
        </w:tc>
        <w:tc>
          <w:tcPr>
            <w:tcW w:w="161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10,731,692</w:t>
            </w: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0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中国工商银行股份有限公司－中欧时代先锋股票型发起式证券投资基金</w:t>
            </w:r>
          </w:p>
        </w:tc>
        <w:tc>
          <w:tcPr>
            <w:tcW w:w="152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04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w:t>
            </w:r>
          </w:p>
        </w:tc>
        <w:tc>
          <w:tcPr>
            <w:tcW w:w="161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10,038,270</w:t>
            </w: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0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中国建设银行股份有限公司－中欧价值发现股票型证券投资基金</w:t>
            </w:r>
          </w:p>
        </w:tc>
        <w:tc>
          <w:tcPr>
            <w:tcW w:w="152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04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w:t>
            </w:r>
          </w:p>
        </w:tc>
        <w:tc>
          <w:tcPr>
            <w:tcW w:w="161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8,859,230</w:t>
            </w: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0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中国建设银行股份有限公司－中欧新蓝筹灵活配置混合型证券投资基金</w:t>
            </w:r>
          </w:p>
        </w:tc>
        <w:tc>
          <w:tcPr>
            <w:tcW w:w="152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04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w:t>
            </w:r>
          </w:p>
        </w:tc>
        <w:tc>
          <w:tcPr>
            <w:tcW w:w="161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8,278,207</w:t>
            </w: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80" w:hRule="atLeast"/>
        </w:trPr>
        <w:tc>
          <w:tcPr>
            <w:tcW w:w="240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陆利华</w:t>
            </w:r>
          </w:p>
        </w:tc>
        <w:tc>
          <w:tcPr>
            <w:tcW w:w="152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4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0.98%</w:t>
            </w:r>
          </w:p>
        </w:tc>
        <w:tc>
          <w:tcPr>
            <w:tcW w:w="161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7,561,356</w:t>
            </w:r>
          </w:p>
        </w:tc>
        <w:tc>
          <w:tcPr>
            <w:tcW w:w="123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5,671,017</w:t>
            </w:r>
          </w:p>
        </w:tc>
        <w:tc>
          <w:tcPr>
            <w:tcW w:w="7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107"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333" w:hRule="atLeast"/>
        </w:trPr>
        <w:tc>
          <w:tcPr>
            <w:tcW w:w="240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上述股东关联关系或一致行动的说明</w:t>
            </w:r>
          </w:p>
        </w:tc>
        <w:tc>
          <w:tcPr>
            <w:tcW w:w="7230" w:type="dxa"/>
            <w:gridSpan w:val="11"/>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前10名股东中，德华集团控股股份有限公司为本公司的控股股东，与公司实际控制人丁鸿敏及德华集团的控股子公司德华创业投资有限公司为一致行动人；与其他股东不存在关联关系，也不属于《上市公司收购管理办法》中规定的一致行动人。除此之外，本公司未知其他股东之间是否存在关联关系，也未知其他股东之间是否属于《上市公司收购管理办法》中规定的一致行动人。</w:t>
            </w:r>
          </w:p>
        </w:tc>
      </w:tr>
    </w:tbl>
    <w:p>
      <w:pPr>
        <w:keepNext/>
        <w:keepLines/>
        <w:spacing w:before="300" w:after="300" w:line="280" w:lineRule="exact"/>
        <w:jc w:val="left"/>
        <w:outlineLvl w:val="3"/>
        <w:rPr>
          <w:rFonts w:ascii="宋体" w:hAnsi="宋体" w:eastAsia="宋体" w:cs="宋体"/>
          <w:b/>
          <w:bCs/>
          <w:sz w:val="18"/>
          <w:szCs w:val="18"/>
        </w:rPr>
      </w:pPr>
      <w:bookmarkStart w:id="9" w:name="_Toc988898"/>
      <w:r>
        <w:rPr>
          <w:rFonts w:ascii="宋体" w:hAnsi="宋体" w:eastAsia="宋体" w:cs="宋体"/>
          <w:b/>
          <w:bCs/>
          <w:sz w:val="18"/>
          <w:szCs w:val="18"/>
        </w:rPr>
        <w:t>（2） 公司优先股股东总数及前10名优先股股东持股情况表</w:t>
      </w:r>
      <w:bookmarkEnd w:id="9"/>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公司报告期无优先股股东持股情况。</w:t>
      </w:r>
    </w:p>
    <w:p>
      <w:pPr>
        <w:keepNext/>
        <w:keepLines/>
        <w:spacing w:before="300" w:after="300" w:line="280" w:lineRule="exact"/>
        <w:jc w:val="left"/>
        <w:outlineLvl w:val="3"/>
        <w:rPr>
          <w:rFonts w:ascii="宋体" w:hAnsi="宋体" w:eastAsia="宋体" w:cs="宋体"/>
          <w:b/>
          <w:bCs/>
          <w:sz w:val="18"/>
          <w:szCs w:val="18"/>
        </w:rPr>
      </w:pPr>
      <w:bookmarkStart w:id="10" w:name="_Toc988899"/>
      <w:r>
        <w:rPr>
          <w:rFonts w:ascii="宋体" w:hAnsi="宋体" w:eastAsia="宋体" w:cs="宋体"/>
          <w:b/>
          <w:bCs/>
          <w:sz w:val="18"/>
          <w:szCs w:val="18"/>
        </w:rPr>
        <w:t>（3） 以方框图形式披露公司与实际控制人之间的产权及控制关系</w:t>
      </w:r>
      <w:bookmarkEnd w:id="10"/>
    </w:p>
    <w:p>
      <w:pPr>
        <w:spacing w:before="40" w:after="40" w:line="0" w:lineRule="exact"/>
        <w:rPr>
          <w:rFonts w:ascii="Times New Roman" w:hAnsi="Times New Roman" w:eastAsia="宋体" w:cs="Times New Roman"/>
        </w:rPr>
      </w:pPr>
      <w:r>
        <w:rPr>
          <w:rFonts w:ascii="Times New Roman" w:hAnsi="Times New Roman" w:eastAsia="宋体" w:cs="Times New Roman"/>
        </w:rPr>
        <w:drawing>
          <wp:inline distT="0" distB="0" distL="0" distR="0">
            <wp:extent cx="4200525" cy="2233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stretch>
                      <a:fillRect/>
                    </a:stretch>
                  </pic:blipFill>
                  <pic:spPr>
                    <a:xfrm>
                      <a:off x="0" y="0"/>
                      <a:ext cx="4200525" cy="2233612"/>
                    </a:xfrm>
                    <a:prstGeom prst="rect">
                      <a:avLst/>
                    </a:prstGeom>
                  </pic:spPr>
                </pic:pic>
              </a:graphicData>
            </a:graphic>
          </wp:inline>
        </w:drawing>
      </w:r>
    </w:p>
    <w:p>
      <w:pPr>
        <w:keepNext/>
        <w:keepLines/>
        <w:spacing w:before="300" w:after="300" w:line="280" w:lineRule="exact"/>
        <w:jc w:val="left"/>
        <w:outlineLvl w:val="2"/>
        <w:rPr>
          <w:rFonts w:ascii="宋体" w:hAnsi="宋体" w:eastAsia="宋体" w:cs="宋体"/>
          <w:b/>
          <w:bCs/>
          <w:sz w:val="21"/>
          <w:szCs w:val="21"/>
        </w:rPr>
      </w:pPr>
      <w:bookmarkStart w:id="11" w:name="_Toc988900"/>
      <w:r>
        <w:rPr>
          <w:rFonts w:ascii="宋体" w:hAnsi="宋体" w:eastAsia="宋体" w:cs="宋体"/>
          <w:b/>
          <w:bCs/>
          <w:sz w:val="21"/>
          <w:szCs w:val="21"/>
        </w:rPr>
        <w:t>5、在年度报告批准报出日存续的债券情况</w:t>
      </w:r>
      <w:bookmarkEnd w:id="11"/>
    </w:p>
    <w:p>
      <w:pPr>
        <w:spacing w:before="100" w:after="100" w:line="240" w:lineRule="exact"/>
        <w:jc w:val="left"/>
        <w:rPr>
          <w:rFonts w:ascii="宋体" w:hAnsi="宋体" w:eastAsia="宋体" w:cs="宋体"/>
          <w:sz w:val="21"/>
          <w:szCs w:val="21"/>
        </w:rPr>
      </w:pPr>
      <w:r>
        <w:rPr>
          <w:rFonts w:ascii="宋体" w:hAnsi="宋体" w:eastAsia="宋体" w:cs="宋体"/>
          <w:sz w:val="21"/>
          <w:szCs w:val="21"/>
        </w:rPr>
        <w:t xml:space="preserve">□适用 </w:t>
      </w:r>
      <w:r>
        <w:rPr>
          <w:rFonts w:ascii="宋体" w:hAnsi="宋体" w:eastAsia="宋体" w:cs="宋体"/>
          <w:sz w:val="21"/>
          <w:szCs w:val="21"/>
        </w:rPr>
        <w:sym w:font="Wingdings 2" w:char="F052"/>
      </w:r>
      <w:r>
        <w:rPr>
          <w:rFonts w:ascii="宋体" w:hAnsi="宋体" w:eastAsia="宋体" w:cs="宋体"/>
          <w:sz w:val="21"/>
          <w:szCs w:val="21"/>
        </w:rPr>
        <w:t>不适用</w:t>
      </w:r>
    </w:p>
    <w:p>
      <w:pPr>
        <w:keepNext/>
        <w:keepLines/>
        <w:spacing w:before="300" w:after="300" w:line="320" w:lineRule="exact"/>
        <w:jc w:val="left"/>
        <w:outlineLvl w:val="1"/>
        <w:rPr>
          <w:rFonts w:ascii="宋体" w:hAnsi="宋体" w:eastAsia="宋体" w:cs="宋体"/>
          <w:b/>
          <w:bCs/>
          <w:sz w:val="21"/>
          <w:szCs w:val="21"/>
        </w:rPr>
      </w:pPr>
      <w:bookmarkStart w:id="12" w:name="_Toc988901"/>
      <w:r>
        <w:rPr>
          <w:rFonts w:ascii="宋体" w:hAnsi="宋体" w:eastAsia="宋体" w:cs="宋体"/>
          <w:b/>
          <w:bCs/>
          <w:sz w:val="21"/>
          <w:szCs w:val="21"/>
        </w:rPr>
        <w:t>三、重要事项</w:t>
      </w:r>
      <w:bookmarkEnd w:id="12"/>
    </w:p>
    <w:p>
      <w:pPr>
        <w:pStyle w:val="2"/>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不适用</w:t>
      </w:r>
    </w:p>
    <w:p>
      <w:pPr>
        <w:pStyle w:val="2"/>
        <w:keepNext w:val="0"/>
        <w:keepLines w:val="0"/>
        <w:widowControl/>
        <w:suppressLineNumbers w:val="0"/>
        <w:rPr>
          <w:rFonts w:hint="eastAsia" w:ascii="宋体" w:hAnsi="宋体" w:eastAsia="宋体" w:cs="宋体"/>
          <w:sz w:val="21"/>
          <w:szCs w:val="21"/>
        </w:rPr>
      </w:pPr>
    </w:p>
    <w:p>
      <w:pPr>
        <w:autoSpaceDE w:val="0"/>
        <w:autoSpaceDN w:val="0"/>
        <w:adjustRightInd w:val="0"/>
        <w:spacing w:beforeLines="0" w:afterLines="0" w:line="420" w:lineRule="exact"/>
        <w:ind w:firstLine="420" w:firstLineChars="200"/>
        <w:jc w:val="right"/>
        <w:rPr>
          <w:rFonts w:hint="eastAsia" w:ascii="宋体" w:hAnsi="宋体" w:eastAsia="宋体" w:cs="宋体"/>
          <w:kern w:val="0"/>
          <w:sz w:val="21"/>
          <w:szCs w:val="21"/>
          <w:lang w:val="zh-CN" w:eastAsia="zh-CN" w:bidi="ar"/>
        </w:rPr>
      </w:pPr>
      <w:r>
        <w:rPr>
          <w:rFonts w:hint="eastAsia" w:ascii="宋体" w:hAnsi="宋体" w:eastAsia="宋体" w:cs="宋体"/>
          <w:kern w:val="0"/>
          <w:sz w:val="21"/>
          <w:szCs w:val="21"/>
          <w:lang w:val="zh-CN" w:eastAsia="zh-CN" w:bidi="ar"/>
        </w:rPr>
        <w:t>德华兔宝宝装饰新材股份有限公司</w:t>
      </w:r>
    </w:p>
    <w:p>
      <w:pPr>
        <w:pStyle w:val="2"/>
        <w:keepNext w:val="0"/>
        <w:keepLines w:val="0"/>
        <w:widowControl/>
        <w:suppressLineNumbers w:val="0"/>
        <w:wordWrap/>
        <w:jc w:val="center"/>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 xml:space="preserve">                                                                        </w:t>
      </w:r>
      <w:r>
        <w:rPr>
          <w:rFonts w:hint="eastAsia" w:ascii="宋体" w:hAnsi="宋体" w:eastAsia="宋体" w:cs="宋体"/>
          <w:kern w:val="0"/>
          <w:sz w:val="21"/>
          <w:szCs w:val="21"/>
          <w:lang w:val="en-US" w:eastAsia="zh-CN" w:bidi="ar"/>
        </w:rPr>
        <w:t>董事长：</w:t>
      </w:r>
      <w:r>
        <w:rPr>
          <w:rFonts w:hint="eastAsia" w:ascii="宋体" w:hAnsi="宋体" w:cs="宋体"/>
          <w:kern w:val="0"/>
          <w:sz w:val="21"/>
          <w:szCs w:val="21"/>
          <w:lang w:val="en-US" w:eastAsia="zh-CN" w:bidi="ar"/>
        </w:rPr>
        <w:t>丁鸿敏</w:t>
      </w:r>
    </w:p>
    <w:p>
      <w:pPr>
        <w:pStyle w:val="2"/>
        <w:keepNext w:val="0"/>
        <w:keepLines w:val="0"/>
        <w:widowControl/>
        <w:suppressLineNumbers w:val="0"/>
        <w:wordWrap/>
        <w:jc w:val="center"/>
        <w:rPr>
          <w:rFonts w:hint="eastAsia" w:ascii="宋体" w:hAnsi="宋体" w:eastAsia="宋体" w:cs="宋体"/>
          <w:kern w:val="0"/>
          <w:sz w:val="21"/>
          <w:szCs w:val="21"/>
          <w:lang w:val="en-US" w:eastAsia="zh-CN" w:bidi="ar"/>
        </w:rPr>
      </w:pPr>
      <w:r>
        <w:rPr>
          <w:rFonts w:hint="eastAsia" w:ascii="宋体" w:hAnsi="宋体" w:cs="宋体"/>
          <w:kern w:val="0"/>
          <w:sz w:val="21"/>
          <w:szCs w:val="21"/>
          <w:lang w:val="en-US" w:eastAsia="zh-CN" w:bidi="ar"/>
        </w:rPr>
        <w:t xml:space="preserve">                                                            </w:t>
      </w:r>
      <w:bookmarkStart w:id="13" w:name="_GoBack"/>
      <w:bookmarkEnd w:id="13"/>
      <w:r>
        <w:rPr>
          <w:rFonts w:hint="eastAsia" w:ascii="宋体" w:hAnsi="宋体" w:cs="宋体"/>
          <w:kern w:val="0"/>
          <w:sz w:val="21"/>
          <w:szCs w:val="21"/>
          <w:lang w:val="en-US" w:eastAsia="zh-CN" w:bidi="ar"/>
        </w:rPr>
        <w:t xml:space="preserve">              </w:t>
      </w:r>
      <w:r>
        <w:rPr>
          <w:rFonts w:hint="eastAsia" w:ascii="宋体" w:hAnsi="宋体" w:eastAsia="宋体" w:cs="宋体"/>
          <w:kern w:val="0"/>
          <w:sz w:val="21"/>
          <w:szCs w:val="21"/>
          <w:lang w:val="en-US" w:eastAsia="zh-CN" w:bidi="ar"/>
        </w:rPr>
        <w:t>20</w:t>
      </w:r>
      <w:r>
        <w:rPr>
          <w:rFonts w:hint="eastAsia" w:ascii="宋体" w:hAnsi="宋体" w:cs="宋体"/>
          <w:kern w:val="0"/>
          <w:sz w:val="21"/>
          <w:szCs w:val="21"/>
          <w:lang w:val="en-US" w:eastAsia="zh-CN" w:bidi="ar"/>
        </w:rPr>
        <w:t>23</w:t>
      </w:r>
      <w:r>
        <w:rPr>
          <w:rFonts w:hint="eastAsia" w:ascii="宋体" w:hAnsi="宋体" w:eastAsia="宋体" w:cs="宋体"/>
          <w:kern w:val="0"/>
          <w:sz w:val="21"/>
          <w:szCs w:val="21"/>
          <w:lang w:val="zh-CN" w:eastAsia="zh-CN" w:bidi="ar"/>
        </w:rPr>
        <w:t>年4月</w:t>
      </w:r>
      <w:r>
        <w:rPr>
          <w:rFonts w:hint="eastAsia" w:ascii="宋体" w:hAnsi="宋体" w:eastAsia="宋体" w:cs="宋体"/>
          <w:kern w:val="0"/>
          <w:sz w:val="21"/>
          <w:szCs w:val="21"/>
          <w:lang w:val="en-US" w:eastAsia="zh-CN" w:bidi="ar"/>
        </w:rPr>
        <w:t>28</w:t>
      </w:r>
      <w:r>
        <w:rPr>
          <w:rFonts w:hint="eastAsia" w:ascii="宋体" w:hAnsi="宋体" w:eastAsia="宋体" w:cs="宋体"/>
          <w:kern w:val="0"/>
          <w:sz w:val="21"/>
          <w:szCs w:val="21"/>
          <w:lang w:val="zh-CN" w:eastAsia="zh-CN" w:bidi="ar"/>
        </w:rPr>
        <w:t>日</w:t>
      </w:r>
    </w:p>
    <w:sectPr>
      <w:headerReference r:id="rId3" w:type="default"/>
      <w:footerReference r:id="rId4" w:type="default"/>
      <w:pgSz w:w="11905" w:h="16840"/>
      <w:pgMar w:top="850" w:right="1134" w:bottom="850" w:left="1134" w:header="850"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ascii="仿宋" w:eastAsia="仿宋"/>
        <w:sz w:val="21"/>
        <w:szCs w:val="21"/>
      </w:rPr>
      <w:fldChar w:fldCharType="begin"/>
    </w:r>
    <w:r>
      <w:rPr>
        <w:rFonts w:ascii="仿宋" w:eastAsia="仿宋"/>
        <w:sz w:val="21"/>
        <w:szCs w:val="21"/>
      </w:rPr>
      <w:instrText xml:space="preserve">PAGE   \* MERGEFORMAT</w:instrText>
    </w:r>
    <w:r>
      <w:rPr>
        <w:rFonts w:ascii="仿宋" w:eastAsia="仿宋"/>
        <w:sz w:val="21"/>
        <w:szCs w:val="21"/>
      </w:rPr>
      <w:fldChar w:fldCharType="separate"/>
    </w:r>
    <w:r>
      <w:rPr>
        <w:rFonts w:ascii="仿宋" w:eastAsia="仿宋"/>
        <w:sz w:val="21"/>
        <w:szCs w:val="21"/>
      </w:rPr>
      <w:t>1</w:t>
    </w:r>
    <w:r>
      <w:rPr>
        <w:rFonts w:ascii="仿宋" w:eastAsia="仿宋"/>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right"/>
    </w:pPr>
    <w:r>
      <w:rPr>
        <w:rFonts w:ascii="宋体" w:eastAsia="宋体"/>
        <w:sz w:val="18"/>
        <w:szCs w:val="18"/>
      </w:rPr>
      <w:t>德华兔宝宝装饰新材股份有限公司2022年年度报告摘要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cumentProtection w:enforcement="0"/>
  <w:compat>
    <w:doNotExpandShiftReturn/>
    <w:useFELayout/>
    <w:compatSetting w:name="compatibilityMode" w:uri="http://schemas.microsoft.com/office/word" w:val="14"/>
  </w:compat>
  <w:docVars>
    <w:docVar w:name="commondata" w:val="eyJoZGlkIjoiOTgzNDk3MTU1M2MxYjFmMGQ3OWYxZTlhZDIwMzM5NGMifQ=="/>
  </w:docVars>
  <w:rsids>
    <w:rsidRoot w:val="00000000"/>
    <w:rsid w:val="056E339C"/>
    <w:rsid w:val="23293323"/>
    <w:rsid w:val="26D668BF"/>
    <w:rsid w:val="283C56A3"/>
    <w:rsid w:val="2CAF5FF5"/>
    <w:rsid w:val="317E4F6B"/>
    <w:rsid w:val="4510317B"/>
    <w:rsid w:val="50B45146"/>
    <w:rsid w:val="75976816"/>
    <w:rsid w:val="76D2757C"/>
    <w:rsid w:val="79026863"/>
    <w:rsid w:val="7B985A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1935</Words>
  <Characters>2796</Characters>
  <TotalTime>23</TotalTime>
  <ScaleCrop>false</ScaleCrop>
  <LinksUpToDate>false</LinksUpToDate>
  <CharactersWithSpaces>2983</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2023-04-24T11:09:00Z</dcterms:created>
  <dc:creator>admin</dc:creator>
  <cp:lastModifiedBy>朱丹莎</cp:lastModifiedBy>
  <cp:lastPrinted>2023-04-25T00:48:00Z</cp:lastPrinted>
  <dcterms:modified xsi:type="dcterms:W3CDTF">2023-04-27T05:59:34Z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8FA00E0CAB324A81BB7E990E6E47E1F9_12</vt:lpwstr>
  </property>
</Properties>
</file>