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color w:val="000000"/>
          <w:sz w:val="23"/>
        </w:rPr>
      </w:pPr>
      <w:r>
        <w:rPr>
          <w:rFonts w:hint="eastAsia" w:asciiTheme="majorEastAsia" w:hAnsiTheme="majorEastAsia" w:eastAsiaTheme="majorEastAsia"/>
          <w:color w:val="000000"/>
          <w:sz w:val="24"/>
          <w:szCs w:val="24"/>
        </w:rPr>
        <w:t>股票代码：002043             股票简称：兔宝宝             公告编号：2021-020</w:t>
      </w:r>
      <w:r>
        <w:rPr>
          <w:rFonts w:hint="eastAsia" w:asciiTheme="majorEastAsia" w:hAnsiTheme="majorEastAsia" w:eastAsiaTheme="majorEastAsia"/>
          <w:color w:val="000000"/>
          <w:sz w:val="23"/>
        </w:rPr>
        <w:t xml:space="preserve"> </w:t>
      </w:r>
    </w:p>
    <w:p>
      <w:pPr>
        <w:spacing w:line="260" w:lineRule="exact"/>
        <w:jc w:val="center"/>
        <w:rPr>
          <w:rFonts w:asciiTheme="majorEastAsia" w:hAnsiTheme="majorEastAsia" w:eastAsiaTheme="majorEastAsia"/>
          <w:b/>
          <w:bCs/>
          <w:color w:val="000000"/>
          <w:szCs w:val="21"/>
        </w:rPr>
      </w:pPr>
    </w:p>
    <w:p>
      <w:pPr>
        <w:spacing w:line="360" w:lineRule="auto"/>
        <w:jc w:val="center"/>
        <w:rPr>
          <w:rFonts w:asciiTheme="majorEastAsia" w:hAnsiTheme="majorEastAsia" w:eastAsiaTheme="majorEastAsia"/>
          <w:b/>
          <w:bCs/>
          <w:color w:val="000000"/>
          <w:sz w:val="30"/>
        </w:rPr>
      </w:pPr>
      <w:r>
        <w:rPr>
          <w:rFonts w:hint="eastAsia" w:asciiTheme="majorEastAsia" w:hAnsiTheme="majorEastAsia" w:eastAsiaTheme="majorEastAsia"/>
          <w:b/>
          <w:bCs/>
          <w:color w:val="000000"/>
          <w:sz w:val="30"/>
        </w:rPr>
        <w:t>德华兔宝宝装饰新材股份有限公司</w:t>
      </w:r>
    </w:p>
    <w:p>
      <w:pPr>
        <w:pStyle w:val="2"/>
        <w:spacing w:before="0" w:beforeAutospacing="0" w:after="0" w:afterAutospacing="0" w:line="360" w:lineRule="auto"/>
        <w:jc w:val="center"/>
        <w:rPr>
          <w:rFonts w:hint="default" w:asciiTheme="majorEastAsia" w:hAnsiTheme="majorEastAsia" w:eastAsiaTheme="majorEastAsia"/>
          <w:b/>
          <w:bCs/>
          <w:color w:val="000000"/>
          <w:kern w:val="2"/>
          <w:szCs w:val="20"/>
        </w:rPr>
      </w:pPr>
      <w:r>
        <w:rPr>
          <w:rFonts w:asciiTheme="majorEastAsia" w:hAnsiTheme="majorEastAsia" w:eastAsiaTheme="majorEastAsia"/>
          <w:b/>
          <w:bCs/>
          <w:color w:val="000000"/>
          <w:kern w:val="2"/>
          <w:szCs w:val="20"/>
        </w:rPr>
        <w:t>关于续聘会计师事务所的公告</w:t>
      </w:r>
    </w:p>
    <w:p>
      <w:pPr>
        <w:spacing w:line="360" w:lineRule="auto"/>
        <w:jc w:val="left"/>
        <w:rPr>
          <w:rFonts w:asciiTheme="majorEastAsia" w:hAnsiTheme="majorEastAsia" w:eastAsiaTheme="majorEastAsia"/>
          <w:color w:val="000000"/>
          <w:sz w:val="18"/>
          <w:szCs w:val="18"/>
        </w:rPr>
      </w:pPr>
      <w:r>
        <w:rPr>
          <w:rFonts w:hint="eastAsia" w:asciiTheme="majorEastAsia" w:hAnsiTheme="majorEastAsia" w:eastAsiaTheme="majorEastAsia"/>
          <w:color w:val="000000"/>
          <w:sz w:val="24"/>
          <w:szCs w:val="24"/>
        </w:rPr>
        <w:t xml:space="preserve">    </w:t>
      </w:r>
    </w:p>
    <w:p>
      <w:pPr>
        <w:spacing w:line="360" w:lineRule="auto"/>
        <w:jc w:val="lef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    </w:t>
      </w:r>
      <w:r>
        <w:rPr>
          <w:rFonts w:hint="eastAsia" w:asciiTheme="majorEastAsia" w:hAnsiTheme="majorEastAsia" w:eastAsiaTheme="majorEastAsia"/>
          <w:b/>
          <w:bCs/>
          <w:color w:val="000000"/>
          <w:sz w:val="24"/>
          <w:szCs w:val="24"/>
        </w:rPr>
        <w:t>本公司及董事会全体成员保证信息披露内容的真实、准确和完整，没有虚假记载、误导性陈述或重大遗漏。</w:t>
      </w:r>
    </w:p>
    <w:p>
      <w:pPr>
        <w:spacing w:line="360" w:lineRule="auto"/>
        <w:jc w:val="lef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    </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德华兔宝宝装饰新材股份有限公司（以下简称“兔宝宝”）于2021年4月19日召开第七届董事会第八次会议、第七届监事会第五次会议，审议通过了《关于续聘2021年审计机构的议案》，公司拟续聘天健会计师事务所（特殊普通合伙）为公司2021年度审计机构。本议案尚需提交公司2020年年度股东大会审议，现将相关事项公告如下：</w:t>
      </w:r>
    </w:p>
    <w:p>
      <w:pPr>
        <w:numPr>
          <w:ilvl w:val="0"/>
          <w:numId w:val="1"/>
        </w:numPr>
        <w:spacing w:line="360" w:lineRule="auto"/>
        <w:ind w:firstLine="482" w:firstLineChars="200"/>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拟聘任会计师事务所事项的情况说明</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天健会计师事务所（特殊普通合伙）是一家具有证券、期货从业资格的专业审计机构，具备为上市公司提供审计服务的丰富经验和职业素养，能够较好的满足公司建立健全内部控制以及财务审计工作的要求。已与公司合作多年，在其担任公司审计机构期间，工作勤勉尽责，坚持独立、客观、公正的审计原则，严格遵循国家有关规定以及注册会计师执业规范的要求，按时为公司出具各项专业的审计报告，报告内容客观、公正地反应了公司各期的财务状况和经营成果，切实履行了审计机构的职责，从专业角度维护了公司及股东的合法权益</w:t>
      </w:r>
      <w:bookmarkStart w:id="0" w:name="_GoBack"/>
      <w:bookmarkEnd w:id="0"/>
      <w:r>
        <w:rPr>
          <w:rFonts w:hint="eastAsia" w:cs="宋体" w:asciiTheme="majorEastAsia" w:hAnsiTheme="majorEastAsia" w:eastAsiaTheme="majorEastAsia"/>
          <w:sz w:val="24"/>
          <w:szCs w:val="24"/>
        </w:rPr>
        <w:t>。</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为保持审计工作的连续性和稳定性，公司拟续聘天健会计师事务所（特殊普通合伙）为公司2021年度审计机构，聘任期限为一年。同时，公司董事会提请公司股东大会授权公司管理层根据公司2021年度的具体审计要求和审计范围与天健会计师事务所（特殊普通合伙）协商确定相关的审计费用。</w:t>
      </w:r>
    </w:p>
    <w:p>
      <w:pPr>
        <w:numPr>
          <w:ilvl w:val="0"/>
          <w:numId w:val="1"/>
        </w:numPr>
        <w:spacing w:line="360" w:lineRule="auto"/>
        <w:ind w:firstLine="482" w:firstLineChars="200"/>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拟聘任会计师事务所的基本信息</w:t>
      </w:r>
    </w:p>
    <w:p>
      <w:pPr>
        <w:pStyle w:val="17"/>
        <w:spacing w:line="360" w:lineRule="auto"/>
        <w:ind w:firstLine="480" w:firstLineChars="200"/>
        <w:jc w:val="both"/>
        <w:outlineLvl w:val="0"/>
        <w:rPr>
          <w:rFonts w:asciiTheme="majorEastAsia" w:hAnsiTheme="majorEastAsia" w:eastAsiaTheme="majorEastAsia"/>
        </w:rPr>
      </w:pPr>
      <w:r>
        <w:rPr>
          <w:rFonts w:hint="eastAsia" w:asciiTheme="majorEastAsia" w:hAnsiTheme="majorEastAsia" w:eastAsiaTheme="majorEastAsia"/>
        </w:rPr>
        <w:t>(一)</w:t>
      </w:r>
      <w:r>
        <w:rPr>
          <w:rFonts w:asciiTheme="majorEastAsia" w:hAnsiTheme="majorEastAsia" w:eastAsiaTheme="majorEastAsia"/>
        </w:rPr>
        <w:t xml:space="preserve"> </w:t>
      </w:r>
      <w:r>
        <w:rPr>
          <w:rFonts w:hint="eastAsia" w:asciiTheme="majorEastAsia" w:hAnsiTheme="majorEastAsia" w:eastAsiaTheme="majorEastAsia"/>
        </w:rPr>
        <w:t>机构信息</w:t>
      </w:r>
    </w:p>
    <w:p>
      <w:pPr>
        <w:spacing w:line="360" w:lineRule="auto"/>
        <w:ind w:firstLine="480" w:firstLineChars="200"/>
        <w:outlineLvl w:val="2"/>
        <w:rPr>
          <w:rFonts w:asciiTheme="majorEastAsia" w:hAnsiTheme="majorEastAsia" w:eastAsiaTheme="majorEastAsia"/>
          <w:sz w:val="24"/>
        </w:rPr>
      </w:pPr>
      <w:r>
        <w:rPr>
          <w:rFonts w:hint="eastAsia" w:asciiTheme="majorEastAsia" w:hAnsiTheme="majorEastAsia" w:eastAsiaTheme="majorEastAsia"/>
          <w:sz w:val="24"/>
        </w:rPr>
        <w:t>1. 基本信息</w:t>
      </w:r>
    </w:p>
    <w:tbl>
      <w:tblPr>
        <w:tblStyle w:val="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2198"/>
        <w:gridCol w:w="28"/>
        <w:gridCol w:w="618"/>
        <w:gridCol w:w="1761"/>
        <w:gridCol w:w="224"/>
        <w:gridCol w:w="14"/>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shd w:val="clear" w:color="auto" w:fill="auto"/>
            <w:vAlign w:val="center"/>
          </w:tcPr>
          <w:p>
            <w:pPr>
              <w:spacing w:line="0" w:lineRule="atLeast"/>
              <w:ind w:left="465" w:hanging="360"/>
              <w:rPr>
                <w:rFonts w:asciiTheme="majorEastAsia" w:hAnsiTheme="majorEastAsia" w:eastAsiaTheme="majorEastAsia"/>
                <w:sz w:val="24"/>
              </w:rPr>
            </w:pPr>
            <w:r>
              <w:rPr>
                <w:rFonts w:hint="eastAsia" w:asciiTheme="majorEastAsia" w:hAnsiTheme="majorEastAsia" w:eastAsiaTheme="majorEastAsia"/>
                <w:sz w:val="24"/>
              </w:rPr>
              <w:t>事务所名称</w:t>
            </w:r>
          </w:p>
        </w:tc>
        <w:tc>
          <w:tcPr>
            <w:tcW w:w="6671" w:type="dxa"/>
            <w:gridSpan w:val="7"/>
            <w:shd w:val="clear" w:color="auto" w:fill="auto"/>
            <w:vAlign w:val="center"/>
          </w:tcPr>
          <w:p>
            <w:pPr>
              <w:spacing w:line="0" w:lineRule="atLeast"/>
              <w:ind w:left="465" w:hanging="360"/>
              <w:rPr>
                <w:rFonts w:asciiTheme="majorEastAsia" w:hAnsiTheme="majorEastAsia" w:eastAsiaTheme="majorEastAsia"/>
                <w:sz w:val="24"/>
              </w:rPr>
            </w:pPr>
            <w:r>
              <w:rPr>
                <w:rFonts w:asciiTheme="majorEastAsia" w:hAnsiTheme="majorEastAsia" w:eastAsiaTheme="majorEastAsia"/>
                <w:sz w:val="24"/>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shd w:val="clear" w:color="auto" w:fill="auto"/>
            <w:vAlign w:val="center"/>
          </w:tcPr>
          <w:p>
            <w:pPr>
              <w:spacing w:line="0" w:lineRule="atLeast"/>
              <w:ind w:left="465" w:hanging="360"/>
              <w:rPr>
                <w:rFonts w:asciiTheme="majorEastAsia" w:hAnsiTheme="majorEastAsia" w:eastAsiaTheme="majorEastAsia"/>
                <w:sz w:val="24"/>
              </w:rPr>
            </w:pPr>
            <w:r>
              <w:rPr>
                <w:rFonts w:asciiTheme="majorEastAsia" w:hAnsiTheme="majorEastAsia" w:eastAsiaTheme="majorEastAsia"/>
                <w:sz w:val="24"/>
              </w:rPr>
              <w:t>成立日期</w:t>
            </w:r>
          </w:p>
        </w:tc>
        <w:tc>
          <w:tcPr>
            <w:tcW w:w="2844" w:type="dxa"/>
            <w:gridSpan w:val="3"/>
            <w:shd w:val="clear" w:color="auto" w:fill="auto"/>
            <w:vAlign w:val="center"/>
          </w:tcPr>
          <w:p>
            <w:pPr>
              <w:spacing w:line="0" w:lineRule="atLeast"/>
              <w:ind w:left="465" w:hanging="360"/>
              <w:rPr>
                <w:rFonts w:asciiTheme="majorEastAsia" w:hAnsiTheme="majorEastAsia" w:eastAsiaTheme="majorEastAsia"/>
                <w:sz w:val="24"/>
              </w:rPr>
            </w:pPr>
            <w:r>
              <w:rPr>
                <w:rFonts w:hint="eastAsia" w:asciiTheme="majorEastAsia" w:hAnsiTheme="majorEastAsia" w:eastAsiaTheme="majorEastAsia"/>
                <w:sz w:val="24"/>
              </w:rPr>
              <w:t>2011年7月18日</w:t>
            </w:r>
          </w:p>
        </w:tc>
        <w:tc>
          <w:tcPr>
            <w:tcW w:w="1761" w:type="dxa"/>
            <w:shd w:val="clear" w:color="auto" w:fill="auto"/>
            <w:vAlign w:val="center"/>
          </w:tcPr>
          <w:p>
            <w:pPr>
              <w:spacing w:line="0" w:lineRule="atLeast"/>
              <w:ind w:left="465" w:hanging="360"/>
              <w:rPr>
                <w:rFonts w:asciiTheme="majorEastAsia" w:hAnsiTheme="majorEastAsia" w:eastAsiaTheme="majorEastAsia"/>
                <w:color w:val="000000"/>
                <w:sz w:val="24"/>
              </w:rPr>
            </w:pPr>
            <w:r>
              <w:rPr>
                <w:rFonts w:hint="eastAsia" w:asciiTheme="majorEastAsia" w:hAnsiTheme="majorEastAsia" w:eastAsiaTheme="majorEastAsia"/>
                <w:color w:val="000000"/>
                <w:sz w:val="24"/>
              </w:rPr>
              <w:t>组织形式</w:t>
            </w:r>
          </w:p>
        </w:tc>
        <w:tc>
          <w:tcPr>
            <w:tcW w:w="2066" w:type="dxa"/>
            <w:gridSpan w:val="3"/>
            <w:shd w:val="clear" w:color="auto" w:fill="auto"/>
            <w:vAlign w:val="center"/>
          </w:tcPr>
          <w:p>
            <w:pPr>
              <w:spacing w:line="0" w:lineRule="atLeast"/>
              <w:ind w:left="465" w:hanging="360"/>
              <w:rPr>
                <w:rFonts w:asciiTheme="majorEastAsia" w:hAnsiTheme="majorEastAsia" w:eastAsiaTheme="majorEastAsia"/>
                <w:color w:val="000000"/>
                <w:sz w:val="24"/>
              </w:rPr>
            </w:pPr>
            <w:r>
              <w:rPr>
                <w:rFonts w:hint="eastAsia" w:asciiTheme="majorEastAsia" w:hAnsiTheme="majorEastAsia" w:eastAsiaTheme="majorEastAsia"/>
                <w:color w:val="000000"/>
                <w:sz w:val="24"/>
              </w:rPr>
              <w:t>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shd w:val="clear" w:color="auto" w:fill="auto"/>
            <w:vAlign w:val="center"/>
          </w:tcPr>
          <w:p>
            <w:pPr>
              <w:spacing w:line="0" w:lineRule="atLeast"/>
              <w:ind w:left="465" w:hanging="360"/>
              <w:rPr>
                <w:rFonts w:asciiTheme="majorEastAsia" w:hAnsiTheme="majorEastAsia" w:eastAsiaTheme="majorEastAsia"/>
                <w:sz w:val="24"/>
              </w:rPr>
            </w:pPr>
            <w:r>
              <w:rPr>
                <w:rFonts w:hint="eastAsia" w:asciiTheme="majorEastAsia" w:hAnsiTheme="majorEastAsia" w:eastAsiaTheme="majorEastAsia"/>
                <w:sz w:val="24"/>
              </w:rPr>
              <w:t>注册地址</w:t>
            </w:r>
          </w:p>
        </w:tc>
        <w:tc>
          <w:tcPr>
            <w:tcW w:w="6671" w:type="dxa"/>
            <w:gridSpan w:val="7"/>
            <w:shd w:val="clear" w:color="auto" w:fill="auto"/>
            <w:vAlign w:val="center"/>
          </w:tcPr>
          <w:p>
            <w:pPr>
              <w:spacing w:line="0" w:lineRule="atLeast"/>
              <w:ind w:left="465" w:hanging="360"/>
              <w:rPr>
                <w:rFonts w:asciiTheme="majorEastAsia" w:hAnsiTheme="majorEastAsia" w:eastAsiaTheme="majorEastAsia"/>
                <w:sz w:val="24"/>
              </w:rPr>
            </w:pPr>
            <w:r>
              <w:rPr>
                <w:rFonts w:hint="eastAsia" w:asciiTheme="majorEastAsia" w:hAnsiTheme="majorEastAsia" w:eastAsiaTheme="majorEastAsia"/>
                <w:sz w:val="24"/>
              </w:rPr>
              <w:t>浙江省杭州市西湖区西溪路128号6楼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shd w:val="clear" w:color="auto" w:fill="auto"/>
            <w:vAlign w:val="center"/>
          </w:tcPr>
          <w:p>
            <w:pPr>
              <w:spacing w:line="0" w:lineRule="atLeast"/>
              <w:ind w:left="53" w:leftChars="25" w:firstLine="12" w:firstLineChars="5"/>
              <w:rPr>
                <w:rFonts w:asciiTheme="majorEastAsia" w:hAnsiTheme="majorEastAsia" w:eastAsiaTheme="majorEastAsia"/>
                <w:sz w:val="24"/>
              </w:rPr>
            </w:pPr>
            <w:r>
              <w:rPr>
                <w:rFonts w:hint="eastAsia" w:asciiTheme="majorEastAsia" w:hAnsiTheme="majorEastAsia" w:eastAsiaTheme="majorEastAsia"/>
                <w:sz w:val="24"/>
              </w:rPr>
              <w:t>首席</w:t>
            </w:r>
            <w:r>
              <w:rPr>
                <w:rFonts w:asciiTheme="majorEastAsia" w:hAnsiTheme="majorEastAsia" w:eastAsiaTheme="majorEastAsia"/>
                <w:sz w:val="24"/>
              </w:rPr>
              <w:t>合伙人</w:t>
            </w:r>
          </w:p>
        </w:tc>
        <w:tc>
          <w:tcPr>
            <w:tcW w:w="2226" w:type="dxa"/>
            <w:gridSpan w:val="2"/>
            <w:shd w:val="clear" w:color="auto" w:fill="auto"/>
            <w:vAlign w:val="center"/>
          </w:tcPr>
          <w:p>
            <w:pPr>
              <w:spacing w:line="0" w:lineRule="atLeast"/>
              <w:ind w:left="53" w:leftChars="25" w:firstLine="12" w:firstLineChars="5"/>
              <w:rPr>
                <w:rFonts w:asciiTheme="majorEastAsia" w:hAnsiTheme="majorEastAsia" w:eastAsiaTheme="majorEastAsia"/>
                <w:sz w:val="24"/>
              </w:rPr>
            </w:pPr>
            <w:r>
              <w:rPr>
                <w:rFonts w:asciiTheme="majorEastAsia" w:hAnsiTheme="majorEastAsia" w:eastAsiaTheme="majorEastAsia"/>
                <w:sz w:val="24"/>
              </w:rPr>
              <w:t>胡少先</w:t>
            </w:r>
          </w:p>
        </w:tc>
        <w:tc>
          <w:tcPr>
            <w:tcW w:w="2617" w:type="dxa"/>
            <w:gridSpan w:val="4"/>
            <w:shd w:val="clear" w:color="auto" w:fill="auto"/>
            <w:vAlign w:val="center"/>
          </w:tcPr>
          <w:p>
            <w:pPr>
              <w:spacing w:line="0" w:lineRule="atLeast"/>
              <w:ind w:left="465" w:hanging="360"/>
              <w:rPr>
                <w:rFonts w:asciiTheme="majorEastAsia" w:hAnsiTheme="majorEastAsia" w:eastAsiaTheme="majorEastAsia"/>
                <w:sz w:val="24"/>
              </w:rPr>
            </w:pPr>
            <w:r>
              <w:rPr>
                <w:rFonts w:hint="eastAsia" w:asciiTheme="majorEastAsia" w:hAnsiTheme="majorEastAsia" w:eastAsiaTheme="majorEastAsia"/>
                <w:sz w:val="24"/>
              </w:rPr>
              <w:t>上年末合伙人数量</w:t>
            </w:r>
          </w:p>
        </w:tc>
        <w:tc>
          <w:tcPr>
            <w:tcW w:w="1828" w:type="dxa"/>
            <w:shd w:val="clear" w:color="auto" w:fill="auto"/>
            <w:vAlign w:val="center"/>
          </w:tcPr>
          <w:p>
            <w:pPr>
              <w:spacing w:line="0" w:lineRule="atLeast"/>
              <w:ind w:left="465" w:hanging="360"/>
              <w:jc w:val="center"/>
              <w:rPr>
                <w:rFonts w:asciiTheme="majorEastAsia" w:hAnsiTheme="majorEastAsia" w:eastAsiaTheme="majorEastAsia"/>
                <w:sz w:val="24"/>
              </w:rPr>
            </w:pPr>
            <w:r>
              <w:rPr>
                <w:rFonts w:hint="eastAsia" w:asciiTheme="majorEastAsia" w:hAnsiTheme="majorEastAsia" w:eastAsiaTheme="majorEastAsia"/>
                <w:sz w:val="24"/>
              </w:rPr>
              <w:t>203人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vMerge w:val="restart"/>
            <w:shd w:val="clear" w:color="auto" w:fill="auto"/>
            <w:vAlign w:val="center"/>
          </w:tcPr>
          <w:p>
            <w:pPr>
              <w:spacing w:line="0" w:lineRule="atLeast"/>
              <w:ind w:left="53" w:leftChars="25" w:firstLine="12" w:firstLineChars="5"/>
              <w:rPr>
                <w:rFonts w:asciiTheme="majorEastAsia" w:hAnsiTheme="majorEastAsia" w:eastAsiaTheme="majorEastAsia"/>
                <w:color w:val="000000"/>
                <w:sz w:val="24"/>
              </w:rPr>
            </w:pPr>
            <w:r>
              <w:rPr>
                <w:rFonts w:hint="eastAsia" w:asciiTheme="majorEastAsia" w:hAnsiTheme="majorEastAsia" w:eastAsiaTheme="majorEastAsia"/>
                <w:color w:val="000000"/>
                <w:sz w:val="24"/>
              </w:rPr>
              <w:t>上年末执业人员数量</w:t>
            </w:r>
          </w:p>
        </w:tc>
        <w:tc>
          <w:tcPr>
            <w:tcW w:w="4843" w:type="dxa"/>
            <w:gridSpan w:val="6"/>
            <w:shd w:val="clear" w:color="auto" w:fill="auto"/>
            <w:vAlign w:val="center"/>
          </w:tcPr>
          <w:p>
            <w:pPr>
              <w:spacing w:line="0" w:lineRule="atLeast"/>
              <w:ind w:left="53" w:leftChars="25" w:firstLine="12" w:firstLineChars="5"/>
              <w:rPr>
                <w:rFonts w:asciiTheme="majorEastAsia" w:hAnsiTheme="majorEastAsia" w:eastAsiaTheme="majorEastAsia"/>
                <w:color w:val="000000"/>
                <w:sz w:val="24"/>
              </w:rPr>
            </w:pPr>
            <w:r>
              <w:rPr>
                <w:rFonts w:hint="eastAsia" w:asciiTheme="majorEastAsia" w:hAnsiTheme="majorEastAsia" w:eastAsiaTheme="majorEastAsia"/>
                <w:color w:val="000000"/>
                <w:sz w:val="24"/>
              </w:rPr>
              <w:t>注册会计师</w:t>
            </w:r>
          </w:p>
        </w:tc>
        <w:tc>
          <w:tcPr>
            <w:tcW w:w="1828" w:type="dxa"/>
            <w:shd w:val="clear" w:color="auto" w:fill="auto"/>
            <w:vAlign w:val="center"/>
          </w:tcPr>
          <w:p>
            <w:pPr>
              <w:spacing w:line="0" w:lineRule="atLeast"/>
              <w:ind w:left="465" w:hanging="360"/>
              <w:jc w:val="center"/>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w:t>
            </w:r>
            <w:r>
              <w:rPr>
                <w:rFonts w:asciiTheme="majorEastAsia" w:hAnsiTheme="majorEastAsia" w:eastAsiaTheme="majorEastAsia"/>
                <w:sz w:val="24"/>
              </w:rPr>
              <w:t>859</w:t>
            </w:r>
            <w:r>
              <w:rPr>
                <w:rFonts w:hint="eastAsia" w:asciiTheme="majorEastAsia" w:hAnsiTheme="majorEastAsia" w:eastAsiaTheme="majorEastAsia"/>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vMerge w:val="continue"/>
            <w:shd w:val="clear" w:color="auto" w:fill="auto"/>
            <w:vAlign w:val="center"/>
          </w:tcPr>
          <w:p>
            <w:pPr>
              <w:spacing w:line="0" w:lineRule="atLeast"/>
              <w:ind w:left="53" w:leftChars="25" w:firstLine="12" w:firstLineChars="5"/>
              <w:rPr>
                <w:rFonts w:asciiTheme="majorEastAsia" w:hAnsiTheme="majorEastAsia" w:eastAsiaTheme="majorEastAsia"/>
                <w:color w:val="000000"/>
                <w:sz w:val="24"/>
              </w:rPr>
            </w:pPr>
          </w:p>
        </w:tc>
        <w:tc>
          <w:tcPr>
            <w:tcW w:w="4843" w:type="dxa"/>
            <w:gridSpan w:val="6"/>
            <w:shd w:val="clear" w:color="auto" w:fill="auto"/>
            <w:vAlign w:val="center"/>
          </w:tcPr>
          <w:p>
            <w:pPr>
              <w:spacing w:line="0" w:lineRule="atLeast"/>
              <w:ind w:left="53" w:leftChars="25" w:firstLine="12" w:firstLineChars="5"/>
              <w:rPr>
                <w:rFonts w:asciiTheme="majorEastAsia" w:hAnsiTheme="majorEastAsia" w:eastAsiaTheme="majorEastAsia"/>
                <w:color w:val="000000"/>
                <w:sz w:val="24"/>
              </w:rPr>
            </w:pPr>
            <w:r>
              <w:rPr>
                <w:rFonts w:hint="eastAsia" w:asciiTheme="majorEastAsia" w:hAnsiTheme="majorEastAsia" w:eastAsiaTheme="majorEastAsia"/>
                <w:color w:val="000000"/>
                <w:sz w:val="24"/>
              </w:rPr>
              <w:t>签署过证券服务业务审计报告的注册会计师</w:t>
            </w:r>
          </w:p>
        </w:tc>
        <w:tc>
          <w:tcPr>
            <w:tcW w:w="1828" w:type="dxa"/>
            <w:shd w:val="clear" w:color="auto" w:fill="auto"/>
            <w:vAlign w:val="center"/>
          </w:tcPr>
          <w:p>
            <w:pPr>
              <w:spacing w:line="0" w:lineRule="atLeast"/>
              <w:ind w:left="465" w:hanging="360"/>
              <w:jc w:val="center"/>
              <w:rPr>
                <w:rFonts w:asciiTheme="majorEastAsia" w:hAnsiTheme="majorEastAsia" w:eastAsiaTheme="majorEastAsia"/>
                <w:sz w:val="24"/>
              </w:rPr>
            </w:pPr>
            <w:r>
              <w:rPr>
                <w:rFonts w:asciiTheme="majorEastAsia" w:hAnsiTheme="majorEastAsia" w:eastAsiaTheme="majorEastAsia"/>
                <w:sz w:val="24"/>
              </w:rPr>
              <w:t>737</w:t>
            </w:r>
            <w:r>
              <w:rPr>
                <w:rFonts w:hint="eastAsia" w:asciiTheme="majorEastAsia" w:hAnsiTheme="majorEastAsia" w:eastAsiaTheme="majorEastAsia"/>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vMerge w:val="restart"/>
            <w:shd w:val="clear" w:color="auto" w:fill="auto"/>
            <w:vAlign w:val="center"/>
          </w:tcPr>
          <w:p>
            <w:pPr>
              <w:spacing w:line="0" w:lineRule="atLeast"/>
              <w:ind w:left="53" w:leftChars="25" w:firstLine="12" w:firstLineChars="5"/>
              <w:rPr>
                <w:rFonts w:asciiTheme="majorEastAsia" w:hAnsiTheme="majorEastAsia" w:eastAsiaTheme="majorEastAsia"/>
                <w:sz w:val="24"/>
              </w:rPr>
            </w:pPr>
            <w:r>
              <w:rPr>
                <w:rFonts w:hint="eastAsia" w:asciiTheme="majorEastAsia" w:hAnsiTheme="majorEastAsia" w:eastAsiaTheme="majorEastAsia"/>
                <w:color w:val="000000"/>
                <w:sz w:val="24"/>
              </w:rPr>
              <w:t>2020年</w:t>
            </w:r>
            <w:r>
              <w:rPr>
                <w:rFonts w:hint="eastAsia" w:asciiTheme="majorEastAsia" w:hAnsiTheme="majorEastAsia" w:eastAsiaTheme="majorEastAsia"/>
                <w:sz w:val="24"/>
              </w:rPr>
              <w:t>业务收入</w:t>
            </w:r>
          </w:p>
        </w:tc>
        <w:tc>
          <w:tcPr>
            <w:tcW w:w="2198" w:type="dxa"/>
            <w:shd w:val="clear" w:color="auto" w:fill="auto"/>
            <w:vAlign w:val="center"/>
          </w:tcPr>
          <w:p>
            <w:pPr>
              <w:spacing w:line="0" w:lineRule="atLeast"/>
              <w:ind w:left="53" w:leftChars="25" w:firstLine="12" w:firstLineChars="5"/>
              <w:rPr>
                <w:rFonts w:asciiTheme="majorEastAsia" w:hAnsiTheme="majorEastAsia" w:eastAsiaTheme="majorEastAsia"/>
                <w:sz w:val="24"/>
                <w:highlight w:val="yellow"/>
              </w:rPr>
            </w:pPr>
            <w:r>
              <w:rPr>
                <w:rFonts w:hint="eastAsia" w:asciiTheme="majorEastAsia" w:hAnsiTheme="majorEastAsia" w:eastAsiaTheme="majorEastAsia"/>
                <w:sz w:val="24"/>
              </w:rPr>
              <w:t>业务收入总额</w:t>
            </w:r>
          </w:p>
        </w:tc>
        <w:tc>
          <w:tcPr>
            <w:tcW w:w="4473" w:type="dxa"/>
            <w:gridSpan w:val="6"/>
            <w:shd w:val="clear" w:color="auto" w:fill="auto"/>
            <w:vAlign w:val="center"/>
          </w:tcPr>
          <w:p>
            <w:pPr>
              <w:spacing w:line="0" w:lineRule="atLeast"/>
              <w:ind w:left="465" w:hanging="360"/>
              <w:jc w:val="center"/>
              <w:rPr>
                <w:rFonts w:asciiTheme="majorEastAsia" w:hAnsiTheme="majorEastAsia" w:eastAsiaTheme="majorEastAsia"/>
                <w:sz w:val="24"/>
              </w:rPr>
            </w:pPr>
            <w:r>
              <w:rPr>
                <w:rFonts w:hint="eastAsia" w:asciiTheme="majorEastAsia" w:hAnsiTheme="majorEastAsia" w:eastAsiaTheme="majorEastAsia"/>
                <w:sz w:val="24"/>
              </w:rPr>
              <w:t>30</w:t>
            </w:r>
            <w:r>
              <w:rPr>
                <w:rFonts w:asciiTheme="majorEastAsia" w:hAnsiTheme="majorEastAsia" w:eastAsiaTheme="majorEastAsia"/>
                <w:sz w:val="24"/>
              </w:rPr>
              <w:t>.</w:t>
            </w:r>
            <w:r>
              <w:rPr>
                <w:rFonts w:hint="eastAsia" w:asciiTheme="majorEastAsia" w:hAnsiTheme="majorEastAsia" w:eastAsiaTheme="majorEastAsia"/>
                <w:sz w:val="24"/>
              </w:rPr>
              <w:t>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vMerge w:val="continue"/>
            <w:shd w:val="clear" w:color="auto" w:fill="auto"/>
            <w:vAlign w:val="center"/>
          </w:tcPr>
          <w:p>
            <w:pPr>
              <w:spacing w:line="0" w:lineRule="atLeast"/>
              <w:ind w:left="53" w:leftChars="25" w:firstLine="12" w:firstLineChars="5"/>
              <w:rPr>
                <w:rFonts w:asciiTheme="majorEastAsia" w:hAnsiTheme="majorEastAsia" w:eastAsiaTheme="majorEastAsia"/>
                <w:sz w:val="24"/>
              </w:rPr>
            </w:pPr>
          </w:p>
        </w:tc>
        <w:tc>
          <w:tcPr>
            <w:tcW w:w="2198" w:type="dxa"/>
            <w:shd w:val="clear" w:color="auto" w:fill="auto"/>
            <w:vAlign w:val="center"/>
          </w:tcPr>
          <w:p>
            <w:pPr>
              <w:spacing w:line="0" w:lineRule="atLeast"/>
              <w:ind w:left="53" w:leftChars="25" w:firstLine="12" w:firstLineChars="5"/>
              <w:rPr>
                <w:rFonts w:asciiTheme="majorEastAsia" w:hAnsiTheme="majorEastAsia" w:eastAsiaTheme="majorEastAsia"/>
                <w:sz w:val="24"/>
                <w:highlight w:val="yellow"/>
              </w:rPr>
            </w:pPr>
            <w:r>
              <w:rPr>
                <w:rFonts w:hint="eastAsia" w:asciiTheme="majorEastAsia" w:hAnsiTheme="majorEastAsia" w:eastAsiaTheme="majorEastAsia"/>
                <w:sz w:val="24"/>
              </w:rPr>
              <w:t>审计业务收入</w:t>
            </w:r>
          </w:p>
        </w:tc>
        <w:tc>
          <w:tcPr>
            <w:tcW w:w="4473" w:type="dxa"/>
            <w:gridSpan w:val="6"/>
            <w:shd w:val="clear" w:color="auto" w:fill="auto"/>
            <w:vAlign w:val="center"/>
          </w:tcPr>
          <w:p>
            <w:pPr>
              <w:spacing w:line="0" w:lineRule="atLeast"/>
              <w:ind w:left="465" w:hanging="360"/>
              <w:jc w:val="center"/>
              <w:rPr>
                <w:rFonts w:asciiTheme="majorEastAsia" w:hAnsiTheme="majorEastAsia" w:eastAsiaTheme="majorEastAsia"/>
                <w:sz w:val="24"/>
              </w:rPr>
            </w:pPr>
            <w:r>
              <w:rPr>
                <w:rFonts w:hint="eastAsia" w:asciiTheme="majorEastAsia" w:hAnsiTheme="majorEastAsia" w:eastAsiaTheme="majorEastAsia"/>
                <w:sz w:val="24"/>
              </w:rPr>
              <w:t>27</w:t>
            </w:r>
            <w:r>
              <w:rPr>
                <w:rFonts w:asciiTheme="majorEastAsia" w:hAnsiTheme="majorEastAsia" w:eastAsiaTheme="majorEastAsia"/>
                <w:sz w:val="24"/>
              </w:rPr>
              <w:t>.</w:t>
            </w:r>
            <w:r>
              <w:rPr>
                <w:rFonts w:hint="eastAsia" w:asciiTheme="majorEastAsia" w:hAnsiTheme="majorEastAsia" w:eastAsiaTheme="majorEastAsia"/>
                <w:sz w:val="24"/>
              </w:rPr>
              <w:t>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vMerge w:val="continue"/>
            <w:shd w:val="clear" w:color="auto" w:fill="auto"/>
            <w:vAlign w:val="center"/>
          </w:tcPr>
          <w:p>
            <w:pPr>
              <w:spacing w:line="0" w:lineRule="atLeast"/>
              <w:ind w:left="53" w:leftChars="25" w:firstLine="12" w:firstLineChars="5"/>
              <w:rPr>
                <w:rFonts w:asciiTheme="majorEastAsia" w:hAnsiTheme="majorEastAsia" w:eastAsiaTheme="majorEastAsia"/>
                <w:sz w:val="24"/>
              </w:rPr>
            </w:pPr>
          </w:p>
        </w:tc>
        <w:tc>
          <w:tcPr>
            <w:tcW w:w="2198" w:type="dxa"/>
            <w:shd w:val="clear" w:color="auto" w:fill="auto"/>
            <w:vAlign w:val="center"/>
          </w:tcPr>
          <w:p>
            <w:pPr>
              <w:spacing w:line="0" w:lineRule="atLeast"/>
              <w:ind w:left="53" w:leftChars="25" w:firstLine="12" w:firstLineChars="5"/>
              <w:rPr>
                <w:rFonts w:asciiTheme="majorEastAsia" w:hAnsiTheme="majorEastAsia" w:eastAsiaTheme="majorEastAsia"/>
                <w:sz w:val="24"/>
              </w:rPr>
            </w:pPr>
            <w:r>
              <w:rPr>
                <w:rFonts w:hint="eastAsia" w:asciiTheme="majorEastAsia" w:hAnsiTheme="majorEastAsia" w:eastAsiaTheme="majorEastAsia"/>
                <w:sz w:val="24"/>
              </w:rPr>
              <w:t>证券业务收入</w:t>
            </w:r>
          </w:p>
        </w:tc>
        <w:tc>
          <w:tcPr>
            <w:tcW w:w="4473" w:type="dxa"/>
            <w:gridSpan w:val="6"/>
            <w:shd w:val="clear" w:color="auto" w:fill="auto"/>
            <w:vAlign w:val="center"/>
          </w:tcPr>
          <w:p>
            <w:pPr>
              <w:spacing w:line="0" w:lineRule="atLeast"/>
              <w:ind w:left="465" w:hanging="360"/>
              <w:jc w:val="center"/>
              <w:rPr>
                <w:rFonts w:asciiTheme="majorEastAsia" w:hAnsiTheme="majorEastAsia" w:eastAsiaTheme="majorEastAsia"/>
                <w:sz w:val="24"/>
              </w:rPr>
            </w:pPr>
            <w:r>
              <w:rPr>
                <w:rFonts w:hint="eastAsia" w:asciiTheme="majorEastAsia" w:hAnsiTheme="majorEastAsia" w:eastAsiaTheme="majorEastAsia"/>
                <w:sz w:val="24"/>
              </w:rPr>
              <w:t>18</w:t>
            </w:r>
            <w:r>
              <w:rPr>
                <w:rFonts w:asciiTheme="majorEastAsia" w:hAnsiTheme="majorEastAsia" w:eastAsiaTheme="majorEastAsia"/>
                <w:sz w:val="24"/>
              </w:rPr>
              <w:t>.</w:t>
            </w:r>
            <w:r>
              <w:rPr>
                <w:rFonts w:hint="eastAsia" w:asciiTheme="majorEastAsia" w:hAnsiTheme="majorEastAsia" w:eastAsiaTheme="majorEastAsia"/>
                <w:sz w:val="24"/>
              </w:rPr>
              <w:t>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vMerge w:val="restart"/>
            <w:shd w:val="clear" w:color="auto" w:fill="auto"/>
            <w:vAlign w:val="center"/>
          </w:tcPr>
          <w:p>
            <w:pPr>
              <w:spacing w:line="0" w:lineRule="atLeast"/>
              <w:ind w:left="53" w:leftChars="25" w:firstLine="12" w:firstLineChars="5"/>
              <w:rPr>
                <w:rFonts w:asciiTheme="majorEastAsia" w:hAnsiTheme="majorEastAsia" w:eastAsiaTheme="majorEastAsia"/>
                <w:sz w:val="24"/>
              </w:rPr>
            </w:pPr>
            <w:r>
              <w:rPr>
                <w:rFonts w:hint="eastAsia" w:asciiTheme="majorEastAsia" w:hAnsiTheme="majorEastAsia" w:eastAsiaTheme="majorEastAsia"/>
                <w:sz w:val="24"/>
              </w:rPr>
              <w:t>2020年上市公司（含A、B股）审计情况</w:t>
            </w:r>
          </w:p>
        </w:tc>
        <w:tc>
          <w:tcPr>
            <w:tcW w:w="2198" w:type="dxa"/>
            <w:shd w:val="clear" w:color="auto" w:fill="auto"/>
            <w:vAlign w:val="center"/>
          </w:tcPr>
          <w:p>
            <w:pPr>
              <w:spacing w:line="0" w:lineRule="atLeast"/>
              <w:ind w:left="53" w:leftChars="25" w:firstLine="12" w:firstLineChars="5"/>
              <w:rPr>
                <w:rFonts w:asciiTheme="majorEastAsia" w:hAnsiTheme="majorEastAsia" w:eastAsiaTheme="majorEastAsia"/>
                <w:sz w:val="24"/>
              </w:rPr>
            </w:pPr>
            <w:r>
              <w:rPr>
                <w:rFonts w:hint="eastAsia" w:asciiTheme="majorEastAsia" w:hAnsiTheme="majorEastAsia" w:eastAsiaTheme="majorEastAsia"/>
                <w:sz w:val="24"/>
              </w:rPr>
              <w:t>客户家数</w:t>
            </w:r>
          </w:p>
        </w:tc>
        <w:tc>
          <w:tcPr>
            <w:tcW w:w="4473" w:type="dxa"/>
            <w:gridSpan w:val="6"/>
            <w:shd w:val="clear" w:color="auto" w:fill="auto"/>
            <w:vAlign w:val="center"/>
          </w:tcPr>
          <w:p>
            <w:pPr>
              <w:spacing w:line="0" w:lineRule="atLeast"/>
              <w:ind w:left="465" w:hanging="360"/>
              <w:jc w:val="center"/>
              <w:rPr>
                <w:rFonts w:asciiTheme="majorEastAsia" w:hAnsiTheme="majorEastAsia" w:eastAsiaTheme="majorEastAsia"/>
                <w:sz w:val="24"/>
              </w:rPr>
            </w:pPr>
            <w:r>
              <w:rPr>
                <w:rFonts w:hint="eastAsia" w:asciiTheme="majorEastAsia" w:hAnsiTheme="majorEastAsia" w:eastAsiaTheme="majorEastAsia"/>
                <w:sz w:val="24"/>
              </w:rPr>
              <w:t>511家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vMerge w:val="continue"/>
            <w:shd w:val="clear" w:color="auto" w:fill="auto"/>
          </w:tcPr>
          <w:p>
            <w:pPr>
              <w:spacing w:line="0" w:lineRule="atLeast"/>
              <w:ind w:left="53" w:leftChars="25" w:firstLine="12" w:firstLineChars="5"/>
              <w:rPr>
                <w:rFonts w:asciiTheme="majorEastAsia" w:hAnsiTheme="majorEastAsia" w:eastAsiaTheme="majorEastAsia"/>
                <w:sz w:val="24"/>
              </w:rPr>
            </w:pPr>
          </w:p>
        </w:tc>
        <w:tc>
          <w:tcPr>
            <w:tcW w:w="2198" w:type="dxa"/>
            <w:shd w:val="clear" w:color="auto" w:fill="auto"/>
            <w:vAlign w:val="center"/>
          </w:tcPr>
          <w:p>
            <w:pPr>
              <w:spacing w:line="0" w:lineRule="atLeast"/>
              <w:ind w:left="53" w:leftChars="25" w:firstLine="12" w:firstLineChars="5"/>
              <w:rPr>
                <w:rFonts w:asciiTheme="majorEastAsia" w:hAnsiTheme="majorEastAsia" w:eastAsiaTheme="majorEastAsia"/>
                <w:sz w:val="24"/>
              </w:rPr>
            </w:pPr>
            <w:r>
              <w:rPr>
                <w:rFonts w:hint="eastAsia" w:asciiTheme="majorEastAsia" w:hAnsiTheme="majorEastAsia" w:eastAsiaTheme="majorEastAsia"/>
                <w:sz w:val="24"/>
              </w:rPr>
              <w:t>审计收费总额</w:t>
            </w:r>
          </w:p>
        </w:tc>
        <w:tc>
          <w:tcPr>
            <w:tcW w:w="4473" w:type="dxa"/>
            <w:gridSpan w:val="6"/>
            <w:shd w:val="clear" w:color="auto" w:fill="auto"/>
            <w:vAlign w:val="center"/>
          </w:tcPr>
          <w:p>
            <w:pPr>
              <w:spacing w:line="0" w:lineRule="atLeast"/>
              <w:ind w:left="465" w:hanging="360"/>
              <w:jc w:val="center"/>
              <w:rPr>
                <w:rFonts w:asciiTheme="majorEastAsia" w:hAnsiTheme="majorEastAsia" w:eastAsiaTheme="majorEastAsia"/>
                <w:sz w:val="24"/>
              </w:rPr>
            </w:pPr>
            <w:r>
              <w:rPr>
                <w:rFonts w:asciiTheme="majorEastAsia" w:hAnsiTheme="majorEastAsia" w:eastAsiaTheme="majorEastAsia"/>
                <w:sz w:val="24"/>
              </w:rPr>
              <w:t>5</w:t>
            </w:r>
            <w:r>
              <w:rPr>
                <w:rFonts w:hint="eastAsia" w:asciiTheme="majorEastAsia" w:hAnsiTheme="majorEastAsia" w:eastAsiaTheme="majorEastAsia"/>
                <w:sz w:val="24"/>
              </w:rPr>
              <w:t>.8亿元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vMerge w:val="continue"/>
            <w:shd w:val="clear" w:color="auto" w:fill="auto"/>
          </w:tcPr>
          <w:p>
            <w:pPr>
              <w:spacing w:line="0" w:lineRule="atLeast"/>
              <w:ind w:left="53" w:leftChars="25" w:firstLine="12" w:firstLineChars="5"/>
              <w:rPr>
                <w:rFonts w:asciiTheme="majorEastAsia" w:hAnsiTheme="majorEastAsia" w:eastAsiaTheme="majorEastAsia"/>
                <w:sz w:val="24"/>
              </w:rPr>
            </w:pPr>
          </w:p>
        </w:tc>
        <w:tc>
          <w:tcPr>
            <w:tcW w:w="2198" w:type="dxa"/>
            <w:shd w:val="clear" w:color="auto" w:fill="auto"/>
            <w:vAlign w:val="center"/>
          </w:tcPr>
          <w:p>
            <w:pPr>
              <w:spacing w:line="0" w:lineRule="atLeast"/>
              <w:ind w:left="465" w:hanging="360"/>
              <w:rPr>
                <w:rFonts w:asciiTheme="majorEastAsia" w:hAnsiTheme="majorEastAsia" w:eastAsiaTheme="majorEastAsia"/>
                <w:sz w:val="24"/>
              </w:rPr>
            </w:pPr>
            <w:r>
              <w:rPr>
                <w:rFonts w:hint="eastAsia" w:asciiTheme="majorEastAsia" w:hAnsiTheme="majorEastAsia" w:eastAsiaTheme="majorEastAsia"/>
                <w:sz w:val="24"/>
              </w:rPr>
              <w:t>涉及主要行业</w:t>
            </w:r>
          </w:p>
        </w:tc>
        <w:tc>
          <w:tcPr>
            <w:tcW w:w="4473" w:type="dxa"/>
            <w:gridSpan w:val="6"/>
            <w:shd w:val="clear" w:color="auto" w:fill="auto"/>
            <w:vAlign w:val="center"/>
          </w:tcPr>
          <w:p>
            <w:pPr>
              <w:spacing w:line="0" w:lineRule="atLeast"/>
              <w:ind w:left="34" w:leftChars="16"/>
              <w:rPr>
                <w:rFonts w:asciiTheme="majorEastAsia" w:hAnsiTheme="majorEastAsia" w:eastAsiaTheme="majorEastAsia"/>
                <w:sz w:val="24"/>
              </w:rPr>
            </w:pPr>
            <w:r>
              <w:rPr>
                <w:rFonts w:hint="eastAsia" w:asciiTheme="majorEastAsia" w:hAnsiTheme="majorEastAsia" w:eastAsiaTheme="majorEastAsia"/>
                <w:sz w:val="24"/>
              </w:rPr>
              <w:t>制造业，信息传输、软件和信息技术服务业，批发和零售业，房地产业，建筑业，电力、热力、燃气及水生产和供应业，金融业，交通运输、仓储和邮政业，文化、体育和娱乐业，租赁和商务服务业，水利、环境和公共设施管理业，科学研究和技术服务业，农、林、牧、渔业，采矿业，住宿和餐饮业，教育，综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4" w:type="dxa"/>
            <w:vMerge w:val="continue"/>
            <w:shd w:val="clear" w:color="auto" w:fill="auto"/>
          </w:tcPr>
          <w:p>
            <w:pPr>
              <w:spacing w:line="0" w:lineRule="atLeast"/>
              <w:ind w:left="53" w:leftChars="25" w:firstLine="12" w:firstLineChars="5"/>
              <w:rPr>
                <w:rFonts w:asciiTheme="majorEastAsia" w:hAnsiTheme="majorEastAsia" w:eastAsiaTheme="majorEastAsia"/>
                <w:sz w:val="24"/>
              </w:rPr>
            </w:pPr>
          </w:p>
        </w:tc>
        <w:tc>
          <w:tcPr>
            <w:tcW w:w="4829" w:type="dxa"/>
            <w:gridSpan w:val="5"/>
            <w:shd w:val="clear" w:color="auto" w:fill="auto"/>
            <w:vAlign w:val="center"/>
          </w:tcPr>
          <w:p>
            <w:pPr>
              <w:spacing w:line="0" w:lineRule="atLeast"/>
              <w:ind w:left="465" w:hanging="360"/>
              <w:rPr>
                <w:rFonts w:asciiTheme="majorEastAsia" w:hAnsiTheme="majorEastAsia" w:eastAsiaTheme="majorEastAsia"/>
                <w:color w:val="000000"/>
                <w:sz w:val="24"/>
              </w:rPr>
            </w:pPr>
            <w:r>
              <w:rPr>
                <w:rFonts w:hint="eastAsia" w:asciiTheme="majorEastAsia" w:hAnsiTheme="majorEastAsia" w:eastAsiaTheme="majorEastAsia"/>
                <w:color w:val="000000"/>
                <w:sz w:val="24"/>
              </w:rPr>
              <w:t>本公司同行业上市公司审计客户家数</w:t>
            </w:r>
          </w:p>
        </w:tc>
        <w:tc>
          <w:tcPr>
            <w:tcW w:w="1842" w:type="dxa"/>
            <w:gridSpan w:val="2"/>
            <w:shd w:val="clear" w:color="auto" w:fill="auto"/>
            <w:vAlign w:val="center"/>
          </w:tcPr>
          <w:p>
            <w:pPr>
              <w:spacing w:line="0" w:lineRule="atLeast"/>
              <w:ind w:left="34" w:leftChars="16"/>
              <w:rPr>
                <w:rFonts w:asciiTheme="majorEastAsia" w:hAnsiTheme="majorEastAsia" w:eastAsiaTheme="majorEastAsia"/>
                <w:sz w:val="24"/>
              </w:rPr>
            </w:pPr>
            <w:r>
              <w:rPr>
                <w:rFonts w:asciiTheme="majorEastAsia" w:hAnsiTheme="majorEastAsia" w:eastAsiaTheme="majorEastAsia"/>
                <w:sz w:val="24"/>
              </w:rPr>
              <w:t>382</w:t>
            </w:r>
          </w:p>
        </w:tc>
      </w:tr>
    </w:tbl>
    <w:p>
      <w:pPr>
        <w:spacing w:line="360" w:lineRule="auto"/>
        <w:ind w:firstLine="480" w:firstLineChars="200"/>
        <w:outlineLvl w:val="2"/>
        <w:rPr>
          <w:rFonts w:asciiTheme="majorEastAsia" w:hAnsiTheme="majorEastAsia" w:eastAsiaTheme="majorEastAsia"/>
          <w:sz w:val="24"/>
        </w:rPr>
      </w:pPr>
    </w:p>
    <w:p>
      <w:pPr>
        <w:adjustRightInd w:val="0"/>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w:t>
      </w:r>
      <w:r>
        <w:rPr>
          <w:rFonts w:asciiTheme="majorEastAsia" w:hAnsiTheme="majorEastAsia" w:eastAsiaTheme="majorEastAsia"/>
          <w:sz w:val="24"/>
        </w:rPr>
        <w:t>.</w:t>
      </w:r>
      <w:r>
        <w:rPr>
          <w:rFonts w:hint="eastAsia" w:asciiTheme="majorEastAsia" w:hAnsiTheme="majorEastAsia" w:eastAsiaTheme="majorEastAsia"/>
          <w:sz w:val="24"/>
        </w:rPr>
        <w:t>投资者保护能力</w:t>
      </w:r>
    </w:p>
    <w:p>
      <w:pPr>
        <w:adjustRightInd w:val="0"/>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上年末，天健会计师事务所（特殊普通合伙）累计已计提职业风险基金1亿元以上，购买的职业保险累计赔偿限额超过1亿元，职业风险基金计提及职业保险购买符合财政部关于《会计师事务所职业风险基金管理办法》等文件的相关规定。</w:t>
      </w:r>
    </w:p>
    <w:p>
      <w:pPr>
        <w:spacing w:line="360" w:lineRule="auto"/>
        <w:ind w:firstLine="480" w:firstLineChars="200"/>
        <w:outlineLvl w:val="2"/>
        <w:rPr>
          <w:rFonts w:asciiTheme="majorEastAsia" w:hAnsiTheme="majorEastAsia" w:eastAsiaTheme="majorEastAsia"/>
          <w:sz w:val="24"/>
        </w:rPr>
      </w:pPr>
      <w:r>
        <w:rPr>
          <w:rFonts w:hint="eastAsia" w:asciiTheme="majorEastAsia" w:hAnsiTheme="majorEastAsia" w:eastAsiaTheme="majorEastAsia"/>
          <w:sz w:val="24"/>
        </w:rPr>
        <w:t>近三年天健会计师事务所（特殊普通合伙）已审结的与执业行为相关的民事诉讼中均无需承担民事责任。</w:t>
      </w:r>
    </w:p>
    <w:p>
      <w:pPr>
        <w:spacing w:line="360" w:lineRule="auto"/>
        <w:ind w:firstLine="480" w:firstLineChars="200"/>
        <w:outlineLvl w:val="2"/>
        <w:rPr>
          <w:rFonts w:asciiTheme="majorEastAsia" w:hAnsiTheme="majorEastAsia" w:eastAsiaTheme="majorEastAsia"/>
          <w:sz w:val="24"/>
        </w:rPr>
      </w:pPr>
    </w:p>
    <w:p>
      <w:pPr>
        <w:adjustRightInd w:val="0"/>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3.诚信记录</w:t>
      </w:r>
    </w:p>
    <w:p>
      <w:pPr>
        <w:pStyle w:val="17"/>
        <w:spacing w:line="360" w:lineRule="auto"/>
        <w:ind w:firstLine="480" w:firstLineChars="200"/>
        <w:jc w:val="both"/>
        <w:outlineLvl w:val="0"/>
        <w:rPr>
          <w:rFonts w:asciiTheme="majorEastAsia" w:hAnsiTheme="majorEastAsia" w:eastAsiaTheme="majorEastAsia"/>
        </w:rPr>
      </w:pPr>
      <w:r>
        <w:rPr>
          <w:rFonts w:hint="eastAsia" w:asciiTheme="majorEastAsia" w:hAnsiTheme="majorEastAsia" w:eastAsiaTheme="majorEastAsia"/>
        </w:rPr>
        <w:t>天健会计师事务所（特殊普通合伙）近三年因执业行为受到监督管理措施1</w:t>
      </w:r>
      <w:r>
        <w:rPr>
          <w:rFonts w:asciiTheme="majorEastAsia" w:hAnsiTheme="majorEastAsia" w:eastAsiaTheme="majorEastAsia"/>
        </w:rPr>
        <w:t>2</w:t>
      </w:r>
      <w:r>
        <w:rPr>
          <w:rFonts w:hint="eastAsia" w:asciiTheme="majorEastAsia" w:hAnsiTheme="majorEastAsia" w:eastAsiaTheme="majorEastAsia"/>
        </w:rPr>
        <w:t>次，未受到刑事处罚、行政处罚、自律监管措施和纪律处分。</w:t>
      </w:r>
      <w:r>
        <w:rPr>
          <w:rFonts w:asciiTheme="majorEastAsia" w:hAnsiTheme="majorEastAsia" w:eastAsiaTheme="majorEastAsia"/>
        </w:rPr>
        <w:t>32</w:t>
      </w:r>
      <w:r>
        <w:rPr>
          <w:rFonts w:hint="eastAsia" w:asciiTheme="majorEastAsia" w:hAnsiTheme="majorEastAsia" w:eastAsiaTheme="majorEastAsia"/>
        </w:rPr>
        <w:t>名从业人员近三年因执业行为受到监督管理措施</w:t>
      </w:r>
      <w:r>
        <w:rPr>
          <w:rFonts w:asciiTheme="majorEastAsia" w:hAnsiTheme="majorEastAsia" w:eastAsiaTheme="majorEastAsia"/>
        </w:rPr>
        <w:t>18</w:t>
      </w:r>
      <w:r>
        <w:rPr>
          <w:rFonts w:hint="eastAsia" w:asciiTheme="majorEastAsia" w:hAnsiTheme="majorEastAsia" w:eastAsiaTheme="majorEastAsia"/>
        </w:rPr>
        <w:t>次，未受到刑事处罚、行政处罚和自律监管措施。</w:t>
      </w:r>
    </w:p>
    <w:p>
      <w:pPr>
        <w:pStyle w:val="17"/>
        <w:spacing w:line="360" w:lineRule="auto"/>
        <w:ind w:firstLine="480" w:firstLineChars="200"/>
        <w:jc w:val="both"/>
        <w:outlineLvl w:val="0"/>
        <w:rPr>
          <w:rFonts w:asciiTheme="majorEastAsia" w:hAnsiTheme="majorEastAsia" w:eastAsiaTheme="majorEastAsia"/>
        </w:rPr>
      </w:pPr>
    </w:p>
    <w:p>
      <w:pPr>
        <w:adjustRightInd w:val="0"/>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（二</w:t>
      </w:r>
      <w:r>
        <w:rPr>
          <w:rFonts w:asciiTheme="majorEastAsia" w:hAnsiTheme="majorEastAsia" w:eastAsiaTheme="majorEastAsia"/>
          <w:sz w:val="24"/>
        </w:rPr>
        <w:t>）</w:t>
      </w:r>
      <w:r>
        <w:rPr>
          <w:rFonts w:hint="eastAsia" w:asciiTheme="majorEastAsia" w:hAnsiTheme="majorEastAsia" w:eastAsiaTheme="majorEastAsia"/>
          <w:sz w:val="24"/>
        </w:rPr>
        <w:t>项目信息</w:t>
      </w:r>
    </w:p>
    <w:p>
      <w:pPr>
        <w:adjustRightInd w:val="0"/>
        <w:snapToGri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w:t>
      </w:r>
      <w:r>
        <w:rPr>
          <w:rFonts w:asciiTheme="majorEastAsia" w:hAnsiTheme="majorEastAsia" w:eastAsiaTheme="majorEastAsia"/>
          <w:sz w:val="24"/>
        </w:rPr>
        <w:t>.</w:t>
      </w:r>
      <w:r>
        <w:rPr>
          <w:rFonts w:hint="eastAsia" w:asciiTheme="majorEastAsia" w:hAnsiTheme="majorEastAsia" w:eastAsiaTheme="majorEastAsia"/>
          <w:sz w:val="24"/>
        </w:rPr>
        <w:t xml:space="preserve"> 基本</w:t>
      </w:r>
      <w:r>
        <w:rPr>
          <w:rFonts w:asciiTheme="majorEastAsia" w:hAnsiTheme="majorEastAsia" w:eastAsiaTheme="majorEastAsia"/>
          <w:sz w:val="24"/>
        </w:rPr>
        <w:t>信息</w:t>
      </w:r>
    </w:p>
    <w:tbl>
      <w:tblPr>
        <w:tblStyle w:val="9"/>
        <w:tblW w:w="1015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1104"/>
        <w:gridCol w:w="1164"/>
        <w:gridCol w:w="992"/>
        <w:gridCol w:w="1260"/>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widowControl w:val="0"/>
              <w:spacing w:line="0" w:lineRule="atLeast"/>
              <w:ind w:left="38" w:leftChars="18"/>
              <w:rPr>
                <w:rFonts w:asciiTheme="majorEastAsia" w:hAnsiTheme="majorEastAsia" w:eastAsiaTheme="majorEastAsia"/>
                <w:sz w:val="24"/>
                <w:szCs w:val="24"/>
              </w:rPr>
            </w:pPr>
            <w:r>
              <w:rPr>
                <w:rFonts w:hint="eastAsia" w:asciiTheme="majorEastAsia" w:hAnsiTheme="majorEastAsia" w:eastAsiaTheme="majorEastAsia"/>
                <w:sz w:val="24"/>
                <w:szCs w:val="24"/>
              </w:rPr>
              <w:t>项目组成员</w:t>
            </w:r>
          </w:p>
        </w:tc>
        <w:tc>
          <w:tcPr>
            <w:tcW w:w="992" w:type="dxa"/>
            <w:vAlign w:val="center"/>
          </w:tcPr>
          <w:p>
            <w:pPr>
              <w:widowControl w:val="0"/>
              <w:spacing w:line="0" w:lineRule="atLeast"/>
              <w:ind w:left="38" w:leftChars="1" w:hanging="36" w:hangingChars="15"/>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姓名</w:t>
            </w:r>
          </w:p>
        </w:tc>
        <w:tc>
          <w:tcPr>
            <w:tcW w:w="1104" w:type="dxa"/>
            <w:vAlign w:val="center"/>
          </w:tcPr>
          <w:p>
            <w:pPr>
              <w:widowControl w:val="0"/>
              <w:spacing w:line="0" w:lineRule="atLeast"/>
              <w:ind w:left="33" w:leftChars="15" w:hanging="2"/>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何时成为注册会计师</w:t>
            </w:r>
          </w:p>
        </w:tc>
        <w:tc>
          <w:tcPr>
            <w:tcW w:w="1164" w:type="dxa"/>
            <w:vAlign w:val="center"/>
          </w:tcPr>
          <w:p>
            <w:pPr>
              <w:widowControl w:val="0"/>
              <w:spacing w:line="0" w:lineRule="atLeast"/>
              <w:ind w:left="33" w:leftChars="15" w:hanging="2"/>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何时开始从事上市公司审计</w:t>
            </w:r>
          </w:p>
        </w:tc>
        <w:tc>
          <w:tcPr>
            <w:tcW w:w="992" w:type="dxa"/>
            <w:vAlign w:val="center"/>
          </w:tcPr>
          <w:p>
            <w:pPr>
              <w:widowControl w:val="0"/>
              <w:spacing w:line="0" w:lineRule="atLeast"/>
              <w:ind w:left="33" w:leftChars="15" w:hanging="2"/>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何时开始在本所执业</w:t>
            </w:r>
          </w:p>
        </w:tc>
        <w:tc>
          <w:tcPr>
            <w:tcW w:w="1260" w:type="dxa"/>
            <w:vAlign w:val="center"/>
          </w:tcPr>
          <w:p>
            <w:pPr>
              <w:widowControl w:val="0"/>
              <w:spacing w:line="0" w:lineRule="atLeast"/>
              <w:ind w:left="33" w:leftChars="15" w:hanging="2"/>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何时开始为本公司提供审计服务</w:t>
            </w:r>
          </w:p>
        </w:tc>
        <w:tc>
          <w:tcPr>
            <w:tcW w:w="3082" w:type="dxa"/>
            <w:vAlign w:val="center"/>
          </w:tcPr>
          <w:p>
            <w:pPr>
              <w:widowControl w:val="0"/>
              <w:spacing w:line="0" w:lineRule="atLeast"/>
              <w:ind w:left="33" w:leftChars="15" w:hanging="2"/>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近三年签署或复核上市公司审计报告情况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widowControl w:val="0"/>
              <w:spacing w:line="0" w:lineRule="atLeast"/>
              <w:ind w:left="38" w:leftChars="18"/>
              <w:rPr>
                <w:rFonts w:asciiTheme="majorEastAsia" w:hAnsiTheme="majorEastAsia" w:eastAsiaTheme="majorEastAsia"/>
                <w:sz w:val="24"/>
                <w:szCs w:val="24"/>
              </w:rPr>
            </w:pPr>
            <w:r>
              <w:rPr>
                <w:rFonts w:hint="eastAsia" w:asciiTheme="majorEastAsia" w:hAnsiTheme="majorEastAsia" w:eastAsiaTheme="majorEastAsia"/>
                <w:sz w:val="24"/>
                <w:szCs w:val="24"/>
              </w:rPr>
              <w:t>项目</w:t>
            </w:r>
            <w:r>
              <w:rPr>
                <w:rFonts w:asciiTheme="majorEastAsia" w:hAnsiTheme="majorEastAsia" w:eastAsiaTheme="majorEastAsia"/>
                <w:sz w:val="24"/>
                <w:szCs w:val="24"/>
              </w:rPr>
              <w:t>合伙人</w:t>
            </w:r>
          </w:p>
        </w:tc>
        <w:tc>
          <w:tcPr>
            <w:tcW w:w="992" w:type="dxa"/>
            <w:vAlign w:val="center"/>
          </w:tcPr>
          <w:p>
            <w:pPr>
              <w:widowControl w:val="0"/>
              <w:spacing w:line="0" w:lineRule="atLeast"/>
              <w:ind w:left="83" w:leftChars="-6" w:hanging="96" w:hangingChars="4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徐晓峰</w:t>
            </w:r>
          </w:p>
        </w:tc>
        <w:tc>
          <w:tcPr>
            <w:tcW w:w="1104" w:type="dxa"/>
            <w:vAlign w:val="center"/>
          </w:tcPr>
          <w:p>
            <w:pPr>
              <w:widowControl w:val="0"/>
              <w:spacing w:line="0" w:lineRule="atLeast"/>
              <w:ind w:left="465" w:hanging="36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2008年</w:t>
            </w:r>
          </w:p>
        </w:tc>
        <w:tc>
          <w:tcPr>
            <w:tcW w:w="1164" w:type="dxa"/>
            <w:vAlign w:val="center"/>
          </w:tcPr>
          <w:p>
            <w:pPr>
              <w:widowControl w:val="0"/>
              <w:spacing w:line="0" w:lineRule="atLeast"/>
              <w:ind w:left="465" w:hanging="36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2008年</w:t>
            </w:r>
          </w:p>
        </w:tc>
        <w:tc>
          <w:tcPr>
            <w:tcW w:w="992" w:type="dxa"/>
            <w:vAlign w:val="center"/>
          </w:tcPr>
          <w:p>
            <w:pPr>
              <w:widowControl w:val="0"/>
              <w:spacing w:line="0" w:lineRule="atLeast"/>
              <w:ind w:left="-107" w:leftChars="-51" w:right="-107" w:rightChars="-51"/>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2008年</w:t>
            </w:r>
          </w:p>
        </w:tc>
        <w:tc>
          <w:tcPr>
            <w:tcW w:w="1260" w:type="dxa"/>
            <w:vAlign w:val="center"/>
          </w:tcPr>
          <w:p>
            <w:pPr>
              <w:widowControl w:val="0"/>
              <w:spacing w:line="0" w:lineRule="atLeast"/>
              <w:ind w:left="465" w:hanging="36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2011年</w:t>
            </w:r>
          </w:p>
        </w:tc>
        <w:tc>
          <w:tcPr>
            <w:tcW w:w="3082" w:type="dxa"/>
            <w:vAlign w:val="center"/>
          </w:tcPr>
          <w:p>
            <w:pPr>
              <w:widowControl w:val="0"/>
              <w:spacing w:line="0" w:lineRule="atLeast"/>
              <w:ind w:left="-80" w:leftChars="-38"/>
              <w:jc w:val="left"/>
              <w:rPr>
                <w:rFonts w:asciiTheme="majorEastAsia" w:hAnsiTheme="majorEastAsia" w:eastAsiaTheme="majorEastAsia"/>
                <w:sz w:val="24"/>
                <w:szCs w:val="24"/>
              </w:rPr>
            </w:pPr>
            <w:r>
              <w:rPr>
                <w:rFonts w:hint="eastAsia" w:asciiTheme="majorEastAsia" w:hAnsiTheme="majorEastAsia" w:eastAsiaTheme="majorEastAsia"/>
                <w:sz w:val="24"/>
                <w:szCs w:val="24"/>
              </w:rPr>
              <w:t>2018年，签署兔宝宝、瀚叶股份、三星新材、浙数文化2017年度审计报告；2019年，签署浙数文化、三星新材、瀚叶股份、振德医疗、海正药业2018年度审计报告，复核天奇股份、盾安环境2018年度审计报告；2020年，签署浙数文化、三星新材、瀚叶股份、振德医疗、金固股份、奇精机械、海正药业2019年度审计报告，复核天奇股份、章源钨业2019年度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restart"/>
            <w:vAlign w:val="center"/>
          </w:tcPr>
          <w:p>
            <w:pPr>
              <w:widowControl w:val="0"/>
              <w:spacing w:line="0" w:lineRule="atLeast"/>
              <w:ind w:left="38" w:leftChars="18" w:right="-107" w:rightChars="-51"/>
              <w:rPr>
                <w:rFonts w:asciiTheme="majorEastAsia" w:hAnsiTheme="majorEastAsia" w:eastAsiaTheme="majorEastAsia"/>
                <w:sz w:val="24"/>
                <w:szCs w:val="24"/>
              </w:rPr>
            </w:pPr>
            <w:r>
              <w:rPr>
                <w:rFonts w:hint="eastAsia" w:asciiTheme="majorEastAsia" w:hAnsiTheme="majorEastAsia" w:eastAsiaTheme="majorEastAsia"/>
                <w:sz w:val="24"/>
                <w:szCs w:val="24"/>
              </w:rPr>
              <w:t>签字注册会计师</w:t>
            </w:r>
          </w:p>
        </w:tc>
        <w:tc>
          <w:tcPr>
            <w:tcW w:w="992" w:type="dxa"/>
            <w:vAlign w:val="center"/>
          </w:tcPr>
          <w:p>
            <w:pPr>
              <w:widowControl w:val="0"/>
              <w:spacing w:line="0" w:lineRule="atLeast"/>
              <w:ind w:left="-3" w:leftChars="-7" w:hanging="12" w:hangingChars="5"/>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徐晓峰</w:t>
            </w:r>
          </w:p>
        </w:tc>
        <w:tc>
          <w:tcPr>
            <w:tcW w:w="1104" w:type="dxa"/>
            <w:vAlign w:val="center"/>
          </w:tcPr>
          <w:p>
            <w:pPr>
              <w:widowControl w:val="0"/>
              <w:ind w:left="465" w:hanging="360"/>
              <w:jc w:val="center"/>
              <w:rPr>
                <w:rFonts w:asciiTheme="majorEastAsia" w:hAnsiTheme="majorEastAsia" w:eastAsiaTheme="majorEastAsia"/>
                <w:sz w:val="24"/>
                <w:szCs w:val="21"/>
              </w:rPr>
            </w:pPr>
            <w:r>
              <w:rPr>
                <w:rFonts w:hint="eastAsia" w:asciiTheme="majorEastAsia" w:hAnsiTheme="majorEastAsia" w:eastAsiaTheme="majorEastAsia"/>
                <w:sz w:val="24"/>
                <w:szCs w:val="21"/>
              </w:rPr>
              <w:t>同上</w:t>
            </w:r>
          </w:p>
        </w:tc>
        <w:tc>
          <w:tcPr>
            <w:tcW w:w="1164" w:type="dxa"/>
            <w:vAlign w:val="center"/>
          </w:tcPr>
          <w:p>
            <w:pPr>
              <w:widowControl w:val="0"/>
              <w:ind w:left="38" w:leftChars="18"/>
              <w:jc w:val="center"/>
              <w:rPr>
                <w:rFonts w:asciiTheme="majorEastAsia" w:hAnsiTheme="majorEastAsia" w:eastAsiaTheme="majorEastAsia"/>
                <w:iCs/>
                <w:sz w:val="24"/>
                <w:szCs w:val="21"/>
              </w:rPr>
            </w:pPr>
            <w:r>
              <w:rPr>
                <w:rFonts w:hint="eastAsia" w:asciiTheme="majorEastAsia" w:hAnsiTheme="majorEastAsia" w:eastAsiaTheme="majorEastAsia"/>
                <w:sz w:val="24"/>
                <w:szCs w:val="21"/>
              </w:rPr>
              <w:t>同上</w:t>
            </w:r>
          </w:p>
        </w:tc>
        <w:tc>
          <w:tcPr>
            <w:tcW w:w="992" w:type="dxa"/>
            <w:vAlign w:val="center"/>
          </w:tcPr>
          <w:p>
            <w:pPr>
              <w:widowControl w:val="0"/>
              <w:ind w:left="465" w:hanging="360"/>
              <w:jc w:val="center"/>
              <w:rPr>
                <w:rFonts w:asciiTheme="majorEastAsia" w:hAnsiTheme="majorEastAsia" w:eastAsiaTheme="majorEastAsia"/>
                <w:sz w:val="24"/>
                <w:szCs w:val="21"/>
              </w:rPr>
            </w:pPr>
            <w:r>
              <w:rPr>
                <w:rFonts w:hint="eastAsia" w:asciiTheme="majorEastAsia" w:hAnsiTheme="majorEastAsia" w:eastAsiaTheme="majorEastAsia"/>
                <w:sz w:val="24"/>
                <w:szCs w:val="21"/>
              </w:rPr>
              <w:t>同上</w:t>
            </w:r>
          </w:p>
        </w:tc>
        <w:tc>
          <w:tcPr>
            <w:tcW w:w="1260" w:type="dxa"/>
            <w:vAlign w:val="center"/>
          </w:tcPr>
          <w:p>
            <w:pPr>
              <w:widowControl w:val="0"/>
              <w:jc w:val="center"/>
              <w:rPr>
                <w:rFonts w:asciiTheme="majorEastAsia" w:hAnsiTheme="majorEastAsia" w:eastAsiaTheme="majorEastAsia"/>
                <w:i/>
                <w:color w:val="FF0000"/>
                <w:sz w:val="24"/>
                <w:szCs w:val="21"/>
              </w:rPr>
            </w:pPr>
            <w:r>
              <w:rPr>
                <w:rFonts w:hint="eastAsia" w:asciiTheme="majorEastAsia" w:hAnsiTheme="majorEastAsia" w:eastAsiaTheme="majorEastAsia"/>
                <w:sz w:val="24"/>
                <w:szCs w:val="21"/>
              </w:rPr>
              <w:t>同上</w:t>
            </w:r>
          </w:p>
        </w:tc>
        <w:tc>
          <w:tcPr>
            <w:tcW w:w="3082" w:type="dxa"/>
            <w:vAlign w:val="center"/>
          </w:tcPr>
          <w:p>
            <w:pPr>
              <w:widowControl w:val="0"/>
              <w:rPr>
                <w:rFonts w:asciiTheme="majorEastAsia" w:hAnsiTheme="majorEastAsia" w:eastAsiaTheme="majorEastAsia"/>
                <w:sz w:val="24"/>
                <w:szCs w:val="21"/>
              </w:rPr>
            </w:pPr>
            <w:r>
              <w:rPr>
                <w:rFonts w:hint="eastAsia" w:asciiTheme="majorEastAsia" w:hAnsiTheme="majorEastAsia" w:eastAsiaTheme="majorEastAsia"/>
                <w:sz w:val="24"/>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Merge w:val="continue"/>
            <w:vAlign w:val="center"/>
          </w:tcPr>
          <w:p>
            <w:pPr>
              <w:widowControl w:val="0"/>
              <w:spacing w:line="0" w:lineRule="atLeast"/>
              <w:ind w:left="38" w:leftChars="18"/>
              <w:rPr>
                <w:rFonts w:asciiTheme="majorEastAsia" w:hAnsiTheme="majorEastAsia" w:eastAsiaTheme="majorEastAsia"/>
                <w:sz w:val="24"/>
                <w:szCs w:val="24"/>
              </w:rPr>
            </w:pPr>
          </w:p>
        </w:tc>
        <w:tc>
          <w:tcPr>
            <w:tcW w:w="992" w:type="dxa"/>
            <w:vAlign w:val="center"/>
          </w:tcPr>
          <w:p>
            <w:pPr>
              <w:widowControl w:val="0"/>
              <w:spacing w:line="0" w:lineRule="atLeast"/>
              <w:ind w:left="38" w:leftChars="18"/>
              <w:jc w:val="center"/>
              <w:rPr>
                <w:rFonts w:asciiTheme="majorEastAsia" w:hAnsiTheme="majorEastAsia" w:eastAsiaTheme="majorEastAsia"/>
                <w:sz w:val="24"/>
                <w:szCs w:val="24"/>
              </w:rPr>
            </w:pPr>
            <w:r>
              <w:rPr>
                <w:rFonts w:asciiTheme="majorEastAsia" w:hAnsiTheme="majorEastAsia" w:eastAsiaTheme="majorEastAsia"/>
                <w:sz w:val="24"/>
                <w:szCs w:val="24"/>
              </w:rPr>
              <w:t>潘世玉</w:t>
            </w:r>
          </w:p>
        </w:tc>
        <w:tc>
          <w:tcPr>
            <w:tcW w:w="1104" w:type="dxa"/>
            <w:vAlign w:val="center"/>
          </w:tcPr>
          <w:p>
            <w:pPr>
              <w:widowControl w:val="0"/>
              <w:spacing w:line="0" w:lineRule="atLeast"/>
              <w:ind w:left="38" w:leftChars="18"/>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w:t>
            </w:r>
          </w:p>
        </w:tc>
        <w:tc>
          <w:tcPr>
            <w:tcW w:w="1164" w:type="dxa"/>
            <w:vAlign w:val="center"/>
          </w:tcPr>
          <w:p>
            <w:pPr>
              <w:widowControl w:val="0"/>
              <w:spacing w:line="0" w:lineRule="atLeast"/>
              <w:ind w:left="38" w:leftChars="18"/>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w:t>
            </w:r>
          </w:p>
        </w:tc>
        <w:tc>
          <w:tcPr>
            <w:tcW w:w="992" w:type="dxa"/>
            <w:vAlign w:val="center"/>
          </w:tcPr>
          <w:p>
            <w:pPr>
              <w:widowControl w:val="0"/>
              <w:spacing w:line="0" w:lineRule="atLeast"/>
              <w:ind w:left="-107" w:leftChars="-51" w:right="-107" w:rightChars="-51"/>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2013年</w:t>
            </w:r>
          </w:p>
        </w:tc>
        <w:tc>
          <w:tcPr>
            <w:tcW w:w="1260" w:type="dxa"/>
            <w:vAlign w:val="center"/>
          </w:tcPr>
          <w:p>
            <w:pPr>
              <w:widowControl w:val="0"/>
              <w:spacing w:line="0" w:lineRule="atLeast"/>
              <w:ind w:left="38" w:leftChars="18"/>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2021年</w:t>
            </w:r>
          </w:p>
        </w:tc>
        <w:tc>
          <w:tcPr>
            <w:tcW w:w="3082" w:type="dxa"/>
            <w:vAlign w:val="center"/>
          </w:tcPr>
          <w:p>
            <w:pPr>
              <w:widowControl w:val="0"/>
              <w:spacing w:line="0" w:lineRule="atLeast"/>
              <w:ind w:left="-80" w:leftChars="-38"/>
              <w:jc w:val="left"/>
              <w:rPr>
                <w:rFonts w:asciiTheme="majorEastAsia" w:hAnsiTheme="majorEastAsia" w:eastAsiaTheme="majorEastAsia"/>
                <w:sz w:val="24"/>
                <w:szCs w:val="24"/>
              </w:rPr>
            </w:pPr>
            <w:r>
              <w:rPr>
                <w:rFonts w:hint="eastAsia" w:asciiTheme="majorEastAsia" w:hAnsiTheme="majorEastAsia" w:eastAsiaTheme="majorEastAsia"/>
                <w:sz w:val="24"/>
                <w:szCs w:val="24"/>
              </w:rPr>
              <w:t>2018年，签署金固股份、兔宝宝2017年度审计报告；2019年，签署金固股份、振德医疗2018年度审计报告；</w:t>
            </w:r>
          </w:p>
          <w:p>
            <w:pPr>
              <w:widowControl w:val="0"/>
              <w:spacing w:line="0" w:lineRule="atLeast"/>
              <w:ind w:left="-80" w:leftChars="-38"/>
              <w:jc w:val="left"/>
              <w:rPr>
                <w:rFonts w:asciiTheme="majorEastAsia" w:hAnsiTheme="majorEastAsia" w:eastAsiaTheme="majorEastAsia"/>
                <w:sz w:val="24"/>
                <w:szCs w:val="24"/>
              </w:rPr>
            </w:pPr>
            <w:r>
              <w:rPr>
                <w:rFonts w:hint="eastAsia" w:asciiTheme="majorEastAsia" w:hAnsiTheme="majorEastAsia" w:eastAsiaTheme="majorEastAsia"/>
                <w:sz w:val="24"/>
                <w:szCs w:val="24"/>
              </w:rPr>
              <w:t>2020年，签署金固股份、振德医疗2019年度审计报告。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vAlign w:val="center"/>
          </w:tcPr>
          <w:p>
            <w:pPr>
              <w:widowControl w:val="0"/>
              <w:spacing w:line="0" w:lineRule="atLeast"/>
              <w:ind w:left="38" w:leftChars="18" w:right="-107" w:rightChars="-51"/>
              <w:rPr>
                <w:rFonts w:asciiTheme="majorEastAsia" w:hAnsiTheme="majorEastAsia" w:eastAsiaTheme="majorEastAsia"/>
                <w:sz w:val="24"/>
                <w:szCs w:val="24"/>
              </w:rPr>
            </w:pPr>
            <w:r>
              <w:rPr>
                <w:rFonts w:hint="eastAsia" w:asciiTheme="majorEastAsia" w:hAnsiTheme="majorEastAsia" w:eastAsiaTheme="majorEastAsia"/>
                <w:sz w:val="24"/>
                <w:szCs w:val="24"/>
              </w:rPr>
              <w:t>质量控制复核人</w:t>
            </w:r>
          </w:p>
        </w:tc>
        <w:tc>
          <w:tcPr>
            <w:tcW w:w="992" w:type="dxa"/>
            <w:shd w:val="clear" w:color="auto" w:fill="auto"/>
            <w:vAlign w:val="center"/>
          </w:tcPr>
          <w:p>
            <w:pPr>
              <w:widowControl w:val="0"/>
              <w:ind w:left="465" w:hanging="360"/>
              <w:jc w:val="center"/>
              <w:rPr>
                <w:rFonts w:asciiTheme="majorEastAsia" w:hAnsiTheme="majorEastAsia" w:eastAsiaTheme="majorEastAsia"/>
                <w:sz w:val="24"/>
                <w:szCs w:val="21"/>
              </w:rPr>
            </w:pPr>
            <w:r>
              <w:rPr>
                <w:rFonts w:hint="eastAsia" w:asciiTheme="majorEastAsia" w:hAnsiTheme="majorEastAsia" w:eastAsiaTheme="majorEastAsia"/>
                <w:sz w:val="24"/>
                <w:szCs w:val="21"/>
              </w:rPr>
              <w:t>赵娇</w:t>
            </w:r>
          </w:p>
        </w:tc>
        <w:tc>
          <w:tcPr>
            <w:tcW w:w="1104" w:type="dxa"/>
            <w:shd w:val="clear" w:color="auto" w:fill="auto"/>
            <w:vAlign w:val="center"/>
          </w:tcPr>
          <w:p>
            <w:pPr>
              <w:widowControl w:val="0"/>
              <w:spacing w:line="0" w:lineRule="atLeast"/>
              <w:ind w:left="38" w:leftChars="18"/>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w:t>
            </w:r>
            <w:r>
              <w:rPr>
                <w:rFonts w:asciiTheme="majorEastAsia" w:hAnsiTheme="majorEastAsia" w:eastAsiaTheme="majorEastAsia"/>
                <w:sz w:val="24"/>
                <w:szCs w:val="24"/>
              </w:rPr>
              <w:t>009年</w:t>
            </w:r>
          </w:p>
        </w:tc>
        <w:tc>
          <w:tcPr>
            <w:tcW w:w="1164" w:type="dxa"/>
            <w:shd w:val="clear" w:color="auto" w:fill="auto"/>
            <w:vAlign w:val="center"/>
          </w:tcPr>
          <w:p>
            <w:pPr>
              <w:widowControl w:val="0"/>
              <w:spacing w:line="0" w:lineRule="atLeast"/>
              <w:ind w:left="38" w:leftChars="18"/>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w:t>
            </w:r>
            <w:r>
              <w:rPr>
                <w:rFonts w:asciiTheme="majorEastAsia" w:hAnsiTheme="majorEastAsia" w:eastAsiaTheme="majorEastAsia"/>
                <w:sz w:val="24"/>
                <w:szCs w:val="24"/>
              </w:rPr>
              <w:t>008年</w:t>
            </w:r>
          </w:p>
        </w:tc>
        <w:tc>
          <w:tcPr>
            <w:tcW w:w="992" w:type="dxa"/>
            <w:shd w:val="clear" w:color="auto" w:fill="auto"/>
            <w:vAlign w:val="center"/>
          </w:tcPr>
          <w:p>
            <w:pPr>
              <w:widowControl w:val="0"/>
              <w:spacing w:line="0" w:lineRule="atLeast"/>
              <w:ind w:left="-105" w:leftChars="-50" w:right="-107" w:rightChars="-51"/>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w:t>
            </w:r>
            <w:r>
              <w:rPr>
                <w:rFonts w:asciiTheme="majorEastAsia" w:hAnsiTheme="majorEastAsia" w:eastAsiaTheme="majorEastAsia"/>
                <w:sz w:val="24"/>
                <w:szCs w:val="24"/>
              </w:rPr>
              <w:t>009年</w:t>
            </w:r>
          </w:p>
        </w:tc>
        <w:tc>
          <w:tcPr>
            <w:tcW w:w="1260" w:type="dxa"/>
            <w:shd w:val="clear" w:color="auto" w:fill="auto"/>
            <w:vAlign w:val="center"/>
          </w:tcPr>
          <w:p>
            <w:pPr>
              <w:widowControl w:val="0"/>
              <w:spacing w:line="0" w:lineRule="atLeast"/>
              <w:ind w:left="-105" w:leftChars="-5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w:t>
            </w:r>
            <w:r>
              <w:rPr>
                <w:rFonts w:asciiTheme="majorEastAsia" w:hAnsiTheme="majorEastAsia" w:eastAsiaTheme="majorEastAsia"/>
                <w:sz w:val="24"/>
                <w:szCs w:val="24"/>
              </w:rPr>
              <w:t>02</w:t>
            </w:r>
            <w:r>
              <w:rPr>
                <w:rFonts w:hint="eastAsia" w:asciiTheme="majorEastAsia" w:hAnsiTheme="majorEastAsia" w:eastAsiaTheme="majorEastAsia"/>
                <w:sz w:val="24"/>
                <w:szCs w:val="24"/>
              </w:rPr>
              <w:t>0</w:t>
            </w:r>
            <w:r>
              <w:rPr>
                <w:rFonts w:asciiTheme="majorEastAsia" w:hAnsiTheme="majorEastAsia" w:eastAsiaTheme="majorEastAsia"/>
                <w:sz w:val="24"/>
                <w:szCs w:val="24"/>
              </w:rPr>
              <w:t>年</w:t>
            </w:r>
          </w:p>
        </w:tc>
        <w:tc>
          <w:tcPr>
            <w:tcW w:w="3082" w:type="dxa"/>
            <w:shd w:val="clear" w:color="auto" w:fill="auto"/>
          </w:tcPr>
          <w:p>
            <w:pPr>
              <w:widowControl w:val="0"/>
              <w:rPr>
                <w:rFonts w:asciiTheme="majorEastAsia" w:hAnsiTheme="majorEastAsia" w:eastAsiaTheme="majorEastAsia"/>
                <w:sz w:val="24"/>
                <w:szCs w:val="21"/>
              </w:rPr>
            </w:pPr>
            <w:r>
              <w:rPr>
                <w:rFonts w:asciiTheme="majorEastAsia" w:hAnsiTheme="majorEastAsia" w:eastAsiaTheme="majorEastAsia"/>
                <w:sz w:val="24"/>
                <w:szCs w:val="21"/>
              </w:rPr>
              <w:t>近三年签署了大参林</w:t>
            </w:r>
            <w:r>
              <w:rPr>
                <w:rFonts w:hint="eastAsia" w:asciiTheme="majorEastAsia" w:hAnsiTheme="majorEastAsia" w:eastAsiaTheme="majorEastAsia"/>
                <w:sz w:val="24"/>
                <w:szCs w:val="21"/>
              </w:rPr>
              <w:t>、</w:t>
            </w:r>
            <w:r>
              <w:rPr>
                <w:rFonts w:asciiTheme="majorEastAsia" w:hAnsiTheme="majorEastAsia" w:eastAsiaTheme="majorEastAsia"/>
                <w:sz w:val="24"/>
                <w:szCs w:val="21"/>
              </w:rPr>
              <w:t>步步高</w:t>
            </w:r>
            <w:r>
              <w:rPr>
                <w:rFonts w:hint="eastAsia" w:asciiTheme="majorEastAsia" w:hAnsiTheme="majorEastAsia" w:eastAsiaTheme="majorEastAsia"/>
                <w:sz w:val="24"/>
                <w:szCs w:val="21"/>
              </w:rPr>
              <w:t>、</w:t>
            </w:r>
            <w:r>
              <w:rPr>
                <w:rFonts w:asciiTheme="majorEastAsia" w:hAnsiTheme="majorEastAsia" w:eastAsiaTheme="majorEastAsia"/>
                <w:sz w:val="24"/>
                <w:szCs w:val="21"/>
              </w:rPr>
              <w:t>通程控股等上市公司年度审计报告</w:t>
            </w:r>
          </w:p>
        </w:tc>
      </w:tr>
    </w:tbl>
    <w:p>
      <w:pPr>
        <w:pStyle w:val="17"/>
        <w:spacing w:line="360" w:lineRule="auto"/>
        <w:ind w:firstLine="480" w:firstLineChars="200"/>
        <w:jc w:val="both"/>
        <w:outlineLvl w:val="0"/>
        <w:rPr>
          <w:rFonts w:asciiTheme="majorEastAsia" w:hAnsiTheme="majorEastAsia" w:eastAsiaTheme="majorEastAsia"/>
        </w:rPr>
      </w:pPr>
    </w:p>
    <w:p>
      <w:pPr>
        <w:adjustRightInd w:val="0"/>
        <w:snapToGrid w:val="0"/>
        <w:spacing w:line="360" w:lineRule="auto"/>
        <w:ind w:left="108" w:firstLine="319" w:firstLineChars="133"/>
        <w:rPr>
          <w:rFonts w:asciiTheme="majorEastAsia" w:hAnsiTheme="majorEastAsia" w:eastAsiaTheme="majorEastAsia"/>
          <w:sz w:val="24"/>
        </w:rPr>
      </w:pPr>
      <w:r>
        <w:rPr>
          <w:rFonts w:hint="eastAsia" w:asciiTheme="majorEastAsia" w:hAnsiTheme="majorEastAsia" w:eastAsiaTheme="majorEastAsia"/>
          <w:sz w:val="24"/>
        </w:rPr>
        <w:t>2</w:t>
      </w:r>
      <w:r>
        <w:rPr>
          <w:rFonts w:asciiTheme="majorEastAsia" w:hAnsiTheme="majorEastAsia" w:eastAsiaTheme="majorEastAsia"/>
          <w:sz w:val="24"/>
        </w:rPr>
        <w:t>.</w:t>
      </w:r>
      <w:r>
        <w:rPr>
          <w:rFonts w:hint="eastAsia" w:asciiTheme="majorEastAsia" w:hAnsiTheme="majorEastAsia" w:eastAsiaTheme="majorEastAsia"/>
          <w:sz w:val="24"/>
        </w:rPr>
        <w:t>诚信记录</w:t>
      </w:r>
    </w:p>
    <w:p>
      <w:pPr>
        <w:adjustRightInd w:val="0"/>
        <w:snapToGrid w:val="0"/>
        <w:spacing w:line="360" w:lineRule="auto"/>
        <w:ind w:left="108" w:firstLine="480" w:firstLineChars="200"/>
        <w:rPr>
          <w:rFonts w:asciiTheme="majorEastAsia" w:hAnsiTheme="majorEastAsia" w:eastAsiaTheme="majorEastAsia"/>
          <w:sz w:val="24"/>
        </w:rPr>
      </w:pPr>
      <w:r>
        <w:rPr>
          <w:rFonts w:hint="eastAsia" w:asciiTheme="majorEastAsia" w:hAnsiTheme="majorEastAsia" w:eastAsiaTheme="majorEastAsia"/>
          <w:sz w:val="24"/>
        </w:rPr>
        <w:t>项目合伙人、签字注册会计师、项目质量控制复核人近三年</w:t>
      </w:r>
      <w:r>
        <w:rPr>
          <w:rFonts w:hint="eastAsia" w:asciiTheme="majorEastAsia" w:hAnsiTheme="majorEastAsia" w:eastAsiaTheme="majorEastAsia"/>
          <w:iCs/>
          <w:sz w:val="24"/>
        </w:rPr>
        <w:t>不存在</w:t>
      </w:r>
      <w:r>
        <w:rPr>
          <w:rFonts w:hint="eastAsia" w:asciiTheme="majorEastAsia" w:hAnsiTheme="majorEastAsia" w:eastAsiaTheme="majorEastAsia"/>
          <w:sz w:val="24"/>
        </w:rPr>
        <w:t>因执业行为受到刑事处罚，受到证监会及其派出机构、行业主管部门等的行政处罚、监督管理措施，受到证券交易所、行业协会等自律组织的自律监管措施、纪律处分的情况。</w:t>
      </w:r>
    </w:p>
    <w:p>
      <w:pPr>
        <w:pStyle w:val="17"/>
        <w:spacing w:line="360" w:lineRule="auto"/>
        <w:ind w:firstLine="480" w:firstLineChars="200"/>
        <w:jc w:val="both"/>
        <w:outlineLvl w:val="0"/>
        <w:rPr>
          <w:rFonts w:asciiTheme="majorEastAsia" w:hAnsiTheme="majorEastAsia" w:eastAsiaTheme="majorEastAsia"/>
        </w:rPr>
      </w:pPr>
    </w:p>
    <w:p>
      <w:pPr>
        <w:adjustRightInd w:val="0"/>
        <w:snapToGrid w:val="0"/>
        <w:spacing w:line="360" w:lineRule="auto"/>
        <w:ind w:left="105" w:firstLine="480" w:firstLineChars="200"/>
        <w:rPr>
          <w:rFonts w:asciiTheme="majorEastAsia" w:hAnsiTheme="majorEastAsia" w:eastAsiaTheme="majorEastAsia"/>
          <w:sz w:val="24"/>
        </w:rPr>
      </w:pPr>
      <w:r>
        <w:rPr>
          <w:rFonts w:hint="eastAsia" w:asciiTheme="majorEastAsia" w:hAnsiTheme="majorEastAsia" w:eastAsiaTheme="majorEastAsia"/>
          <w:sz w:val="24"/>
        </w:rPr>
        <w:t>3.独立性</w:t>
      </w:r>
    </w:p>
    <w:p>
      <w:pPr>
        <w:adjustRightInd w:val="0"/>
        <w:snapToGrid w:val="0"/>
        <w:spacing w:line="360" w:lineRule="auto"/>
        <w:ind w:left="105" w:firstLine="480" w:firstLineChars="200"/>
        <w:rPr>
          <w:rFonts w:asciiTheme="majorEastAsia" w:hAnsiTheme="majorEastAsia" w:eastAsiaTheme="majorEastAsia"/>
          <w:sz w:val="24"/>
        </w:rPr>
      </w:pPr>
      <w:r>
        <w:rPr>
          <w:rFonts w:hint="eastAsia" w:asciiTheme="majorEastAsia" w:hAnsiTheme="majorEastAsia" w:eastAsiaTheme="majorEastAsia"/>
          <w:sz w:val="24"/>
        </w:rPr>
        <w:t>天健会计师事务所（特殊普通合伙）及项目合伙人、签字注册会计师、项目质量控制复核人不存在可能影响独立性的情形。</w:t>
      </w:r>
    </w:p>
    <w:p>
      <w:pPr>
        <w:pStyle w:val="17"/>
        <w:spacing w:line="360" w:lineRule="auto"/>
        <w:ind w:firstLine="480" w:firstLineChars="200"/>
        <w:jc w:val="both"/>
        <w:outlineLvl w:val="0"/>
        <w:rPr>
          <w:rFonts w:asciiTheme="majorEastAsia" w:hAnsiTheme="majorEastAsia" w:eastAsiaTheme="majorEastAsia"/>
        </w:rPr>
      </w:pPr>
    </w:p>
    <w:p>
      <w:pPr>
        <w:adjustRightInd w:val="0"/>
        <w:snapToGrid w:val="0"/>
        <w:spacing w:line="360" w:lineRule="auto"/>
        <w:ind w:left="105" w:firstLine="480" w:firstLineChars="200"/>
        <w:rPr>
          <w:rFonts w:asciiTheme="majorEastAsia" w:hAnsiTheme="majorEastAsia" w:eastAsiaTheme="majorEastAsia"/>
          <w:sz w:val="24"/>
        </w:rPr>
      </w:pPr>
      <w:r>
        <w:rPr>
          <w:rFonts w:asciiTheme="majorEastAsia" w:hAnsiTheme="majorEastAsia" w:eastAsiaTheme="majorEastAsia"/>
          <w:sz w:val="24"/>
        </w:rPr>
        <w:t>4</w:t>
      </w:r>
      <w:r>
        <w:rPr>
          <w:rFonts w:hint="eastAsia" w:asciiTheme="majorEastAsia" w:hAnsiTheme="majorEastAsia" w:eastAsiaTheme="majorEastAsia"/>
          <w:sz w:val="24"/>
        </w:rPr>
        <w:t>.审计收费</w:t>
      </w:r>
    </w:p>
    <w:p>
      <w:pPr>
        <w:topLinePunct/>
        <w:adjustRightInd w:val="0"/>
        <w:spacing w:line="360" w:lineRule="auto"/>
        <w:outlineLvl w:val="0"/>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xml:space="preserve"> </w:t>
      </w:r>
      <w:r>
        <w:rPr>
          <w:rFonts w:cs="宋体" w:asciiTheme="majorEastAsia" w:hAnsiTheme="majorEastAsia" w:eastAsiaTheme="majorEastAsia"/>
          <w:color w:val="000000"/>
          <w:kern w:val="0"/>
          <w:sz w:val="24"/>
        </w:rPr>
        <w:t xml:space="preserve">   经公司股东大会授权后</w:t>
      </w:r>
      <w:r>
        <w:rPr>
          <w:rFonts w:hint="eastAsia" w:cs="宋体" w:asciiTheme="majorEastAsia" w:hAnsiTheme="majorEastAsia" w:eastAsiaTheme="majorEastAsia"/>
          <w:color w:val="000000"/>
          <w:kern w:val="0"/>
          <w:sz w:val="24"/>
        </w:rPr>
        <w:t>，</w:t>
      </w:r>
      <w:r>
        <w:rPr>
          <w:rFonts w:cs="宋体" w:asciiTheme="majorEastAsia" w:hAnsiTheme="majorEastAsia" w:eastAsiaTheme="majorEastAsia"/>
          <w:color w:val="000000"/>
          <w:kern w:val="0"/>
          <w:sz w:val="24"/>
        </w:rPr>
        <w:t>董事会将依据</w:t>
      </w:r>
      <w:r>
        <w:rPr>
          <w:rFonts w:hint="eastAsia" w:cs="宋体" w:asciiTheme="majorEastAsia" w:hAnsiTheme="majorEastAsia" w:eastAsiaTheme="majorEastAsia"/>
          <w:color w:val="000000"/>
          <w:kern w:val="0"/>
          <w:sz w:val="24"/>
        </w:rPr>
        <w:t>2</w:t>
      </w:r>
      <w:r>
        <w:rPr>
          <w:rFonts w:cs="宋体" w:asciiTheme="majorEastAsia" w:hAnsiTheme="majorEastAsia" w:eastAsiaTheme="majorEastAsia"/>
          <w:color w:val="000000"/>
          <w:kern w:val="0"/>
          <w:sz w:val="24"/>
        </w:rPr>
        <w:t>02</w:t>
      </w:r>
      <w:r>
        <w:rPr>
          <w:rFonts w:hint="eastAsia" w:cs="宋体" w:asciiTheme="majorEastAsia" w:hAnsiTheme="majorEastAsia" w:eastAsiaTheme="majorEastAsia"/>
          <w:color w:val="000000"/>
          <w:kern w:val="0"/>
          <w:sz w:val="24"/>
        </w:rPr>
        <w:t>1年度的具体审计要求和审计范围与天健会计师事务所（特殊普通合伙）协商确定审计费用。</w:t>
      </w:r>
    </w:p>
    <w:p>
      <w:pPr>
        <w:pStyle w:val="17"/>
        <w:spacing w:line="360" w:lineRule="auto"/>
        <w:ind w:firstLine="480" w:firstLineChars="200"/>
        <w:jc w:val="both"/>
        <w:outlineLvl w:val="0"/>
        <w:rPr>
          <w:rFonts w:asciiTheme="majorEastAsia" w:hAnsiTheme="majorEastAsia" w:eastAsiaTheme="majorEastAsia"/>
        </w:rPr>
      </w:pPr>
    </w:p>
    <w:p>
      <w:pPr>
        <w:numPr>
          <w:ilvl w:val="0"/>
          <w:numId w:val="1"/>
        </w:numPr>
        <w:spacing w:line="360" w:lineRule="auto"/>
        <w:ind w:firstLine="482" w:firstLineChars="200"/>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拟续聘会计师事务所履行的程序</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1、审计委员会履职情况</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公司董事会审计委员会已对天健会计师事务所（特殊普通合伙）进行了审查，认为其在执业过程中坚持独立审计原则，客观、公正、公允地反映公司财务状况、经营成果，切实履行了审计机构应尽的职责，同意向董事会提议续聘天健会计师事务所（特殊普通合伙）为公司2021年度审计机构。</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2、独立董事的事前认可情况和独立意见</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天健会计师事务所（特殊普通合伙）具有从事证券业务资格及从事上市公司审计工作的丰富经验和职业素养，在以往与公司的合作过程中，为公司提供了优质的审计服务，对于规范公司的财务运作，起到了积极的建设性作用。其在担任公司审计机构期间，遵循《中国注册会计师独立审计准则》，勤勉、尽职，公允合理地发表了独立审计意见。因此，我们一致同意将《关于续聘2021年审计机构的议案》提交至公司第七届董事会第八次会议审议，并同意将该议案提交2020年度股东大会审议。</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公司第七届董事会第八次会议审议通过了《关于续聘2021年审计机构的议案》，同意续聘请天健会计师事务所（特殊普通合伙）为公司2021年度审计机构。本次聘请2021年度审计机构事项尚需提请公司股东大会审议。</w:t>
      </w:r>
    </w:p>
    <w:p>
      <w:pPr>
        <w:spacing w:line="360" w:lineRule="auto"/>
        <w:ind w:firstLine="480" w:firstLineChars="200"/>
        <w:rPr>
          <w:rFonts w:cs="宋体" w:asciiTheme="majorEastAsia" w:hAnsiTheme="majorEastAsia" w:eastAsiaTheme="majorEastAsia"/>
          <w:sz w:val="24"/>
          <w:szCs w:val="24"/>
        </w:rPr>
      </w:pPr>
    </w:p>
    <w:p>
      <w:pPr>
        <w:spacing w:line="360" w:lineRule="auto"/>
        <w:ind w:firstLine="482" w:firstLineChars="200"/>
        <w:rPr>
          <w:rFonts w:cs="宋体" w:asciiTheme="majorEastAsia" w:hAnsiTheme="majorEastAsia" w:eastAsiaTheme="majorEastAsia"/>
          <w:sz w:val="24"/>
          <w:szCs w:val="24"/>
        </w:rPr>
      </w:pPr>
      <w:r>
        <w:rPr>
          <w:rFonts w:hint="eastAsia" w:cs="宋体" w:asciiTheme="majorEastAsia" w:hAnsiTheme="majorEastAsia" w:eastAsiaTheme="majorEastAsia"/>
          <w:b/>
          <w:bCs/>
          <w:sz w:val="24"/>
          <w:szCs w:val="24"/>
        </w:rPr>
        <w:t>四、报备文件</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1、第七届董事会第八次会议决议；</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2、独立董事关于第七届董事会第八次会议相关事项的事前认可意见及独立意见；</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3、公司董事会审计委员会关于续聘2021年审计机构事项的意见；</w:t>
      </w:r>
    </w:p>
    <w:p>
      <w:pPr>
        <w:spacing w:line="360"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4、天健会计师事务所（特殊普通合伙）相关资质文件。</w:t>
      </w:r>
    </w:p>
    <w:p>
      <w:pPr>
        <w:spacing w:line="360" w:lineRule="auto"/>
        <w:ind w:firstLine="480" w:firstLineChars="200"/>
        <w:rPr>
          <w:rFonts w:hint="eastAsia" w:cs="宋体" w:asciiTheme="majorEastAsia" w:hAnsiTheme="majorEastAsia" w:eastAsiaTheme="majorEastAsia"/>
          <w:sz w:val="24"/>
          <w:szCs w:val="24"/>
        </w:rPr>
      </w:pPr>
      <w:r>
        <w:rPr>
          <w:rFonts w:hint="eastAsia" w:cs="宋体" w:asciiTheme="majorEastAsia" w:hAnsiTheme="majorEastAsia" w:eastAsiaTheme="majorEastAsia"/>
          <w:sz w:val="24"/>
          <w:szCs w:val="24"/>
        </w:rPr>
        <w:t>特此公告。</w:t>
      </w:r>
    </w:p>
    <w:p>
      <w:pPr>
        <w:spacing w:line="360" w:lineRule="auto"/>
        <w:ind w:firstLine="480" w:firstLineChars="200"/>
        <w:rPr>
          <w:rFonts w:cs="宋体" w:asciiTheme="majorEastAsia" w:hAnsiTheme="majorEastAsia" w:eastAsiaTheme="majorEastAsia"/>
          <w:sz w:val="24"/>
          <w:szCs w:val="24"/>
        </w:rPr>
      </w:pPr>
    </w:p>
    <w:p>
      <w:pPr>
        <w:spacing w:line="360" w:lineRule="auto"/>
        <w:jc w:val="righ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德华兔宝宝装饰新材股份有限公司 </w:t>
      </w:r>
    </w:p>
    <w:p>
      <w:pPr>
        <w:spacing w:line="360" w:lineRule="auto"/>
        <w:jc w:val="lef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                                                       董 事 会 </w:t>
      </w:r>
    </w:p>
    <w:p>
      <w:pPr>
        <w:spacing w:line="360" w:lineRule="auto"/>
        <w:rPr>
          <w:rFonts w:cs="宋体"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                                                   2021年4月20日</w:t>
      </w:r>
    </w:p>
    <w:sectPr>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1E75BD"/>
    <w:multiLevelType w:val="singleLevel"/>
    <w:tmpl w:val="AE1E75B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85E33"/>
    <w:rsid w:val="000E472C"/>
    <w:rsid w:val="001448BA"/>
    <w:rsid w:val="00153C2F"/>
    <w:rsid w:val="001812A0"/>
    <w:rsid w:val="00234225"/>
    <w:rsid w:val="002516E5"/>
    <w:rsid w:val="00293336"/>
    <w:rsid w:val="002D1418"/>
    <w:rsid w:val="003F2DB3"/>
    <w:rsid w:val="005113B9"/>
    <w:rsid w:val="008176EE"/>
    <w:rsid w:val="0087237D"/>
    <w:rsid w:val="008F0603"/>
    <w:rsid w:val="00932734"/>
    <w:rsid w:val="00950EF3"/>
    <w:rsid w:val="009A5206"/>
    <w:rsid w:val="00A525BE"/>
    <w:rsid w:val="00C76279"/>
    <w:rsid w:val="00CB1164"/>
    <w:rsid w:val="00CF5674"/>
    <w:rsid w:val="09460911"/>
    <w:rsid w:val="0E314812"/>
    <w:rsid w:val="14252620"/>
    <w:rsid w:val="15B465C5"/>
    <w:rsid w:val="17B64BE9"/>
    <w:rsid w:val="1AB81688"/>
    <w:rsid w:val="1D18754B"/>
    <w:rsid w:val="1D553EC1"/>
    <w:rsid w:val="28FF40E5"/>
    <w:rsid w:val="29697A1D"/>
    <w:rsid w:val="2D2F3926"/>
    <w:rsid w:val="2FD97C58"/>
    <w:rsid w:val="3B5C77BD"/>
    <w:rsid w:val="426C14DC"/>
    <w:rsid w:val="43FA0291"/>
    <w:rsid w:val="442F283C"/>
    <w:rsid w:val="45E4245B"/>
    <w:rsid w:val="46985E33"/>
    <w:rsid w:val="5DE708A5"/>
    <w:rsid w:val="608776A4"/>
    <w:rsid w:val="66FE76DF"/>
    <w:rsid w:val="75E32CD6"/>
    <w:rsid w:val="79F6752B"/>
    <w:rsid w:val="7A8B758D"/>
    <w:rsid w:val="7F28092C"/>
    <w:rsid w:val="7F8E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kern w:val="0"/>
      <w:sz w:val="30"/>
      <w:szCs w:val="30"/>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 w:type="character" w:customStyle="1" w:styleId="14">
    <w:name w:val="批注文字 Char"/>
    <w:basedOn w:val="10"/>
    <w:link w:val="3"/>
    <w:qFormat/>
    <w:uiPriority w:val="0"/>
    <w:rPr>
      <w:kern w:val="2"/>
      <w:sz w:val="21"/>
      <w:szCs w:val="22"/>
    </w:rPr>
  </w:style>
  <w:style w:type="character" w:customStyle="1" w:styleId="15">
    <w:name w:val="批注主题 Char"/>
    <w:basedOn w:val="14"/>
    <w:link w:val="7"/>
    <w:qFormat/>
    <w:uiPriority w:val="0"/>
    <w:rPr>
      <w:b/>
      <w:bCs/>
      <w:kern w:val="2"/>
      <w:sz w:val="21"/>
      <w:szCs w:val="22"/>
    </w:rPr>
  </w:style>
  <w:style w:type="character" w:customStyle="1" w:styleId="16">
    <w:name w:val="批注框文本 Char"/>
    <w:basedOn w:val="10"/>
    <w:link w:val="4"/>
    <w:qFormat/>
    <w:uiPriority w:val="0"/>
    <w:rPr>
      <w:kern w:val="2"/>
      <w:sz w:val="18"/>
      <w:szCs w:val="18"/>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449</Words>
  <Characters>2560</Characters>
  <Lines>21</Lines>
  <Paragraphs>6</Paragraphs>
  <TotalTime>111</TotalTime>
  <ScaleCrop>false</ScaleCrop>
  <LinksUpToDate>false</LinksUpToDate>
  <CharactersWithSpaces>3003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2020-03-03T02:47:00Z</dcterms:created>
  <dc:creator>admin</dc:creator>
  <cp:lastModifiedBy>啥啥</cp:lastModifiedBy>
  <dcterms:modified xsi:type="dcterms:W3CDTF">2021-04-19T09:02:01Z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27C9EE65052947DE9F0CE8C5A6470458</vt:lpwstr>
  </property>
</Properties>
</file>