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0" w:firstLineChars="0"/>
        <w:jc w:val="left"/>
        <w:rPr>
          <w:rStyle w:val="6"/>
          <w:rFonts w:ascii="宋体" w:hAnsi="宋体"/>
          <w:color w:val="000000"/>
          <w:sz w:val="24"/>
        </w:rPr>
      </w:pPr>
      <w:r>
        <w:rPr>
          <w:rFonts w:hint="eastAsia" w:ascii="宋体" w:hAnsi="宋体" w:eastAsia="宋体" w:cs="宋体"/>
          <w:sz w:val="24"/>
          <w:szCs w:val="24"/>
        </w:rPr>
        <w:t>股票代码：002043           股票简称：兔宝宝             公告编号：</w:t>
      </w:r>
      <w:r>
        <w:rPr>
          <w:rStyle w:val="6"/>
          <w:rFonts w:hint="eastAsia" w:ascii="宋体" w:hAnsi="宋体" w:eastAsia="宋体"/>
          <w:color w:val="000000"/>
          <w:sz w:val="24"/>
          <w:lang w:val="en-US" w:eastAsia="zh-CN"/>
        </w:rPr>
        <w:t>2021-004</w:t>
      </w:r>
    </w:p>
    <w:p>
      <w:pPr>
        <w:spacing w:line="440" w:lineRule="exact"/>
        <w:ind w:firstLine="422"/>
        <w:jc w:val="center"/>
        <w:rPr>
          <w:rFonts w:ascii="Arial" w:hAnsi="Arial" w:cs="Arial"/>
          <w:b/>
          <w:szCs w:val="21"/>
        </w:rPr>
      </w:pPr>
    </w:p>
    <w:p>
      <w:pPr>
        <w:spacing w:line="440" w:lineRule="exact"/>
        <w:ind w:firstLine="602"/>
        <w:jc w:val="center"/>
        <w:rPr>
          <w:rFonts w:ascii="宋体" w:hAnsi="宋体" w:eastAsia="宋体" w:cs="宋体"/>
          <w:b/>
          <w:bCs/>
          <w:sz w:val="30"/>
          <w:szCs w:val="30"/>
        </w:rPr>
      </w:pPr>
      <w:r>
        <w:rPr>
          <w:rFonts w:hint="eastAsia" w:ascii="宋体" w:hAnsi="宋体" w:eastAsia="宋体" w:cs="宋体"/>
          <w:b/>
          <w:bCs/>
          <w:sz w:val="30"/>
          <w:szCs w:val="30"/>
        </w:rPr>
        <w:t>德华兔宝宝装饰新材股份有限公司</w:t>
      </w:r>
    </w:p>
    <w:p>
      <w:pPr>
        <w:spacing w:line="440" w:lineRule="exact"/>
        <w:ind w:firstLine="602"/>
        <w:jc w:val="center"/>
        <w:rPr>
          <w:rFonts w:ascii="宋体" w:hAnsi="宋体" w:eastAsia="宋体" w:cs="宋体"/>
          <w:b/>
          <w:bCs/>
          <w:sz w:val="30"/>
          <w:szCs w:val="30"/>
        </w:rPr>
      </w:pPr>
      <w:r>
        <w:rPr>
          <w:rFonts w:hint="eastAsia" w:ascii="宋体" w:hAnsi="宋体" w:eastAsia="宋体" w:cs="宋体"/>
          <w:b/>
          <w:bCs/>
          <w:sz w:val="30"/>
          <w:szCs w:val="30"/>
        </w:rPr>
        <w:t>回购报告书</w:t>
      </w:r>
    </w:p>
    <w:p>
      <w:pPr>
        <w:spacing w:line="440" w:lineRule="exact"/>
        <w:ind w:firstLine="420"/>
        <w:jc w:val="center"/>
        <w:rPr>
          <w:rFonts w:ascii="宋体" w:hAnsi="宋体" w:eastAsia="宋体"/>
          <w:bCs/>
          <w:szCs w:val="21"/>
        </w:rPr>
      </w:pPr>
    </w:p>
    <w:p>
      <w:pPr>
        <w:spacing w:line="440" w:lineRule="exact"/>
        <w:ind w:firstLine="480"/>
        <w:rPr>
          <w:rFonts w:ascii="宋体" w:hAnsi="宋体" w:eastAsia="宋体"/>
          <w:bCs/>
          <w:sz w:val="24"/>
          <w:szCs w:val="24"/>
        </w:rPr>
      </w:pPr>
      <w:r>
        <w:rPr>
          <w:rFonts w:ascii="宋体" w:hAnsi="宋体" w:eastAsia="宋体"/>
          <w:bCs/>
          <w:sz w:val="24"/>
          <w:szCs w:val="24"/>
        </w:rPr>
        <w:t>本公司及董事会全体成员保证信息披露内容的真实、准确和完整，没有虚假记载、误导性陈述或重大遗漏</w:t>
      </w:r>
      <w:r>
        <w:rPr>
          <w:rFonts w:hint="eastAsia" w:ascii="宋体" w:hAnsi="宋体" w:eastAsia="宋体"/>
          <w:bCs/>
          <w:sz w:val="24"/>
          <w:szCs w:val="24"/>
        </w:rPr>
        <w:t>。</w:t>
      </w:r>
    </w:p>
    <w:p>
      <w:pPr>
        <w:spacing w:beforeLines="50" w:line="440" w:lineRule="exact"/>
        <w:ind w:firstLine="482"/>
        <w:rPr>
          <w:rFonts w:ascii="宋体" w:hAnsi="宋体"/>
          <w:b/>
          <w:bCs/>
          <w:sz w:val="24"/>
        </w:rPr>
      </w:pPr>
      <w:r>
        <w:rPr>
          <w:rFonts w:hint="eastAsia" w:ascii="宋体" w:hAnsi="宋体"/>
          <w:b/>
          <w:bCs/>
          <w:sz w:val="24"/>
        </w:rPr>
        <w:t>重点提示：</w:t>
      </w:r>
    </w:p>
    <w:p>
      <w:pPr>
        <w:numPr>
          <w:ilvl w:val="0"/>
          <w:numId w:val="1"/>
        </w:numPr>
        <w:spacing w:line="440" w:lineRule="exact"/>
        <w:ind w:firstLine="480"/>
        <w:rPr>
          <w:rFonts w:ascii="宋体" w:hAnsi="宋体"/>
          <w:bCs/>
          <w:sz w:val="24"/>
        </w:rPr>
      </w:pPr>
      <w:r>
        <w:rPr>
          <w:rFonts w:hint="eastAsia" w:ascii="宋体" w:hAnsi="宋体"/>
          <w:bCs/>
          <w:sz w:val="24"/>
        </w:rPr>
        <w:t>德华兔宝宝装饰新材股份有限公司</w:t>
      </w:r>
      <w:r>
        <w:rPr>
          <w:rFonts w:hint="eastAsia" w:ascii="宋体" w:hAnsi="宋体"/>
          <w:bCs/>
          <w:sz w:val="24"/>
          <w:lang w:eastAsia="zh-CN"/>
        </w:rPr>
        <w:t>（以下简称“</w:t>
      </w:r>
      <w:r>
        <w:rPr>
          <w:rFonts w:hint="eastAsia" w:ascii="宋体" w:hAnsi="宋体"/>
          <w:bCs/>
          <w:sz w:val="24"/>
        </w:rPr>
        <w:t>公司</w:t>
      </w:r>
      <w:r>
        <w:rPr>
          <w:rFonts w:hint="eastAsia" w:ascii="宋体" w:hAnsi="宋体"/>
          <w:bCs/>
          <w:sz w:val="24"/>
          <w:lang w:eastAsia="zh-CN"/>
        </w:rPr>
        <w:t>”）</w:t>
      </w:r>
      <w:r>
        <w:rPr>
          <w:rFonts w:hint="eastAsia" w:ascii="宋体" w:hAnsi="宋体"/>
          <w:bCs/>
          <w:sz w:val="24"/>
        </w:rPr>
        <w:t>拟使用自有资金以集中竞价交易方式回购公司股份，回购资金总额不低于人民币</w:t>
      </w:r>
      <w:r>
        <w:rPr>
          <w:rFonts w:hint="eastAsia" w:ascii="宋体" w:hAnsi="宋体"/>
          <w:bCs/>
          <w:sz w:val="24"/>
          <w:lang w:val="en-US" w:eastAsia="zh-CN"/>
        </w:rPr>
        <w:t>1.5</w:t>
      </w:r>
      <w:r>
        <w:rPr>
          <w:rFonts w:hint="eastAsia" w:ascii="宋体" w:hAnsi="宋体"/>
          <w:bCs/>
          <w:sz w:val="24"/>
        </w:rPr>
        <w:t>亿元（含）且不超过人民币</w:t>
      </w:r>
      <w:r>
        <w:rPr>
          <w:rFonts w:hint="eastAsia" w:ascii="宋体" w:hAnsi="宋体"/>
          <w:bCs/>
          <w:sz w:val="24"/>
          <w:lang w:val="en-US" w:eastAsia="zh-CN"/>
        </w:rPr>
        <w:t>3</w:t>
      </w:r>
      <w:r>
        <w:rPr>
          <w:rFonts w:hint="eastAsia" w:ascii="宋体" w:hAnsi="宋体"/>
          <w:bCs/>
          <w:sz w:val="24"/>
        </w:rPr>
        <w:t>亿元（含），回购价格不超过人民币</w:t>
      </w:r>
      <w:r>
        <w:rPr>
          <w:rFonts w:hint="eastAsia" w:ascii="宋体" w:hAnsi="宋体"/>
          <w:bCs/>
          <w:sz w:val="24"/>
          <w:lang w:val="en-US" w:eastAsia="zh-CN"/>
        </w:rPr>
        <w:t>10.00</w:t>
      </w:r>
      <w:r>
        <w:rPr>
          <w:rFonts w:hint="eastAsia" w:ascii="宋体" w:hAnsi="宋体"/>
          <w:bCs/>
          <w:sz w:val="24"/>
        </w:rPr>
        <w:t>元/股（含），</w:t>
      </w:r>
      <w:r>
        <w:rPr>
          <w:rFonts w:hint="eastAsia" w:ascii="宋体" w:hAnsi="宋体"/>
          <w:bCs/>
          <w:sz w:val="24"/>
          <w:highlight w:val="none"/>
        </w:rPr>
        <w:t>若按回购总金额上限</w:t>
      </w:r>
      <w:r>
        <w:rPr>
          <w:rFonts w:hint="eastAsia" w:ascii="宋体" w:hAnsi="宋体"/>
          <w:bCs/>
          <w:sz w:val="24"/>
          <w:highlight w:val="none"/>
          <w:lang w:val="en-US" w:eastAsia="zh-CN"/>
        </w:rPr>
        <w:t>3</w:t>
      </w:r>
      <w:r>
        <w:rPr>
          <w:rFonts w:hint="eastAsia" w:ascii="宋体" w:hAnsi="宋体"/>
          <w:bCs/>
          <w:sz w:val="24"/>
          <w:highlight w:val="none"/>
        </w:rPr>
        <w:t>亿元人民币，回购价格上限人民币</w:t>
      </w:r>
      <w:r>
        <w:rPr>
          <w:rFonts w:hint="eastAsia" w:ascii="宋体" w:hAnsi="宋体"/>
          <w:bCs/>
          <w:sz w:val="24"/>
          <w:highlight w:val="none"/>
          <w:lang w:val="en-US" w:eastAsia="zh-CN"/>
        </w:rPr>
        <w:t>10.00</w:t>
      </w:r>
      <w:r>
        <w:rPr>
          <w:rFonts w:hint="eastAsia" w:ascii="宋体" w:hAnsi="宋体"/>
          <w:bCs/>
          <w:sz w:val="24"/>
          <w:highlight w:val="none"/>
        </w:rPr>
        <w:t>元/股进行测算，预计可回购股份数量约为</w:t>
      </w:r>
      <w:r>
        <w:rPr>
          <w:rFonts w:hint="eastAsia" w:ascii="宋体" w:hAnsi="宋体"/>
          <w:bCs/>
          <w:sz w:val="24"/>
          <w:highlight w:val="none"/>
          <w:lang w:val="en-US" w:eastAsia="zh-CN"/>
        </w:rPr>
        <w:t>3,000</w:t>
      </w:r>
      <w:r>
        <w:rPr>
          <w:rFonts w:hint="eastAsia" w:ascii="宋体" w:hAnsi="宋体"/>
          <w:bCs/>
          <w:sz w:val="24"/>
          <w:highlight w:val="none"/>
        </w:rPr>
        <w:t>万股，占公司目前总股本比例为</w:t>
      </w:r>
      <w:r>
        <w:rPr>
          <w:rFonts w:hint="eastAsia" w:ascii="宋体" w:hAnsi="宋体"/>
          <w:bCs/>
          <w:sz w:val="24"/>
          <w:highlight w:val="none"/>
          <w:lang w:val="en-US" w:eastAsia="zh-CN"/>
        </w:rPr>
        <w:t>3.87</w:t>
      </w:r>
      <w:r>
        <w:rPr>
          <w:rFonts w:hint="eastAsia" w:ascii="宋体" w:hAnsi="宋体"/>
          <w:bCs/>
          <w:sz w:val="24"/>
          <w:highlight w:val="none"/>
        </w:rPr>
        <w:t>%</w:t>
      </w:r>
      <w:r>
        <w:rPr>
          <w:rFonts w:hint="eastAsia" w:ascii="宋体" w:hAnsi="宋体"/>
          <w:bCs/>
          <w:sz w:val="24"/>
        </w:rPr>
        <w:t>，具体回购股份的数量、金额以回购期满时实际回购的股份数量、金额为准。</w:t>
      </w:r>
      <w:r>
        <w:rPr>
          <w:rFonts w:hint="eastAsia" w:ascii="宋体" w:hAnsi="宋体"/>
          <w:bCs/>
          <w:sz w:val="24"/>
          <w:highlight w:val="none"/>
        </w:rPr>
        <w:t>本次回购股份用于注销并减少注册资本。回购实施期限自</w:t>
      </w:r>
      <w:r>
        <w:rPr>
          <w:rFonts w:hint="eastAsia" w:ascii="宋体" w:hAnsi="宋体"/>
          <w:bCs/>
          <w:sz w:val="24"/>
          <w:highlight w:val="none"/>
          <w:lang w:eastAsia="zh-CN"/>
        </w:rPr>
        <w:t>股东大会</w:t>
      </w:r>
      <w:r>
        <w:rPr>
          <w:rFonts w:hint="eastAsia" w:ascii="宋体" w:hAnsi="宋体"/>
          <w:bCs/>
          <w:sz w:val="24"/>
          <w:highlight w:val="none"/>
        </w:rPr>
        <w:t>审议通过本次回购股份方案之日起</w:t>
      </w:r>
      <w:r>
        <w:rPr>
          <w:rFonts w:hint="eastAsia" w:ascii="宋体" w:hAnsi="宋体"/>
          <w:bCs/>
          <w:sz w:val="24"/>
          <w:highlight w:val="none"/>
          <w:lang w:val="en-US" w:eastAsia="zh-CN"/>
        </w:rPr>
        <w:t>6</w:t>
      </w:r>
      <w:r>
        <w:rPr>
          <w:rFonts w:hint="eastAsia" w:ascii="宋体" w:hAnsi="宋体"/>
          <w:bCs/>
          <w:sz w:val="24"/>
          <w:highlight w:val="none"/>
        </w:rPr>
        <w:t>个月内。</w:t>
      </w:r>
    </w:p>
    <w:p>
      <w:pPr>
        <w:numPr>
          <w:ilvl w:val="0"/>
          <w:numId w:val="1"/>
        </w:numPr>
        <w:spacing w:line="440" w:lineRule="exact"/>
        <w:ind w:firstLine="480"/>
        <w:rPr>
          <w:rFonts w:ascii="宋体" w:hAnsi="宋体"/>
          <w:bCs/>
          <w:sz w:val="24"/>
        </w:rPr>
      </w:pPr>
      <w:r>
        <w:rPr>
          <w:rFonts w:hint="eastAsia" w:ascii="宋体" w:hAnsi="宋体"/>
          <w:bCs/>
          <w:sz w:val="24"/>
        </w:rPr>
        <w:t>本次回购股份相关方案已经公司</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届董事会第</w:t>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次会议</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lang w:val="en-US" w:eastAsia="zh-CN"/>
        </w:rPr>
        <w:t>2021年第一次临时股东大会</w:t>
      </w:r>
      <w:r>
        <w:rPr>
          <w:rFonts w:hint="eastAsia" w:ascii="宋体" w:hAnsi="宋体"/>
          <w:bCs/>
          <w:sz w:val="24"/>
        </w:rPr>
        <w:t>审议通过。</w:t>
      </w:r>
    </w:p>
    <w:p>
      <w:pPr>
        <w:numPr>
          <w:ilvl w:val="0"/>
          <w:numId w:val="1"/>
        </w:numPr>
        <w:spacing w:line="440" w:lineRule="exact"/>
        <w:ind w:firstLine="480"/>
        <w:rPr>
          <w:rFonts w:ascii="宋体" w:hAnsi="宋体"/>
          <w:bCs/>
          <w:sz w:val="24"/>
        </w:rPr>
      </w:pPr>
      <w:r>
        <w:rPr>
          <w:rFonts w:hint="eastAsia" w:ascii="宋体" w:hAnsi="宋体"/>
          <w:bCs/>
          <w:sz w:val="24"/>
        </w:rPr>
        <w:t>公司已在中国证券登记结算有限责任公司深圳分公司开立了股份回购专用证券账户。</w:t>
      </w:r>
    </w:p>
    <w:p>
      <w:pPr>
        <w:numPr>
          <w:ilvl w:val="0"/>
          <w:numId w:val="1"/>
        </w:numPr>
        <w:spacing w:line="440" w:lineRule="exact"/>
        <w:ind w:firstLine="480"/>
        <w:rPr>
          <w:rFonts w:ascii="宋体" w:hAnsi="宋体"/>
          <w:bCs/>
          <w:sz w:val="24"/>
        </w:rPr>
      </w:pPr>
      <w:r>
        <w:rPr>
          <w:rFonts w:hint="eastAsia" w:ascii="宋体" w:hAnsi="宋体"/>
          <w:bCs/>
          <w:sz w:val="24"/>
        </w:rPr>
        <w:t>风险提示：</w:t>
      </w:r>
    </w:p>
    <w:p>
      <w:pPr>
        <w:numPr>
          <w:ilvl w:val="0"/>
          <w:numId w:val="2"/>
        </w:numPr>
        <w:spacing w:line="440" w:lineRule="exact"/>
        <w:ind w:left="0" w:leftChars="0" w:firstLine="480" w:firstLineChars="200"/>
        <w:rPr>
          <w:rFonts w:hint="eastAsia" w:ascii="宋体" w:hAnsi="宋体"/>
          <w:bCs/>
          <w:sz w:val="24"/>
        </w:rPr>
      </w:pPr>
      <w:r>
        <w:rPr>
          <w:rFonts w:hint="eastAsia" w:ascii="宋体" w:hAnsi="宋体"/>
          <w:bCs/>
          <w:sz w:val="24"/>
        </w:rPr>
        <w:t>若回购期限内公司股票价格持续超出回购方案披露的回购价格上限，则本次回购方案存在无法实施的风险。</w:t>
      </w:r>
    </w:p>
    <w:p>
      <w:pPr>
        <w:numPr>
          <w:ilvl w:val="0"/>
          <w:numId w:val="2"/>
        </w:numPr>
        <w:spacing w:line="440" w:lineRule="exact"/>
        <w:ind w:left="0" w:leftChars="0" w:firstLine="480" w:firstLineChars="200"/>
        <w:rPr>
          <w:rFonts w:hint="eastAsia" w:ascii="宋体" w:hAnsi="宋体"/>
          <w:bCs/>
          <w:sz w:val="24"/>
        </w:rPr>
      </w:pPr>
      <w:r>
        <w:rPr>
          <w:rFonts w:hint="eastAsia" w:ascii="宋体" w:hAnsi="宋体"/>
          <w:bCs/>
          <w:sz w:val="24"/>
        </w:rPr>
        <w:t>本次回购方案不代表公司将在二级市场回购公司股份的承诺，公司将在回购期限内根据市场情况择机实施股份回购并根据进展情况及时履行信息披露义务。敬请投资者注意投资风险。</w:t>
      </w:r>
    </w:p>
    <w:p>
      <w:pPr>
        <w:spacing w:beforeLines="50" w:line="440" w:lineRule="exact"/>
        <w:ind w:firstLine="480"/>
        <w:rPr>
          <w:rFonts w:hint="eastAsia" w:ascii="宋体" w:hAnsi="宋体"/>
          <w:bCs/>
          <w:sz w:val="24"/>
        </w:rPr>
      </w:pPr>
      <w:r>
        <w:rPr>
          <w:rFonts w:hint="eastAsia" w:ascii="宋体" w:hAnsi="宋体"/>
          <w:bCs/>
          <w:sz w:val="24"/>
        </w:rPr>
        <w:t>根据《中华人民共和国公司法》、《中华人民共和国证券法》、《深圳证券交易所股票上市规则》、《深圳证券交易所上市公司回购股份实施细则》及《公司章程》相关法律法规的规定，德华兔宝宝装饰新材股份有限公司（以下简称“公司”）拟定了回购公司股份的回购报告书，具体内容如下：</w:t>
      </w:r>
    </w:p>
    <w:p>
      <w:pPr>
        <w:numPr>
          <w:ilvl w:val="0"/>
          <w:numId w:val="3"/>
        </w:numPr>
        <w:spacing w:beforeLines="50" w:line="440" w:lineRule="exact"/>
        <w:ind w:firstLine="482"/>
        <w:rPr>
          <w:rFonts w:ascii="宋体" w:hAnsi="宋体"/>
          <w:b/>
          <w:sz w:val="24"/>
        </w:rPr>
      </w:pPr>
      <w:r>
        <w:rPr>
          <w:rFonts w:hint="eastAsia" w:ascii="宋体" w:hAnsi="宋体"/>
          <w:b/>
          <w:sz w:val="24"/>
        </w:rPr>
        <w:t>回购方案的主要内容</w:t>
      </w:r>
    </w:p>
    <w:p>
      <w:pPr>
        <w:shd w:val="clear"/>
        <w:spacing w:line="400" w:lineRule="exact"/>
        <w:ind w:firstLine="482"/>
        <w:rPr>
          <w:rFonts w:ascii="宋体" w:hAnsi="宋体"/>
          <w:b/>
          <w:sz w:val="24"/>
          <w:highlight w:val="none"/>
        </w:rPr>
      </w:pPr>
      <w:r>
        <w:rPr>
          <w:rFonts w:hint="eastAsia" w:ascii="宋体" w:hAnsi="宋体"/>
          <w:b/>
          <w:sz w:val="24"/>
          <w:highlight w:val="none"/>
        </w:rPr>
        <w:t>（一）回购股份的目的及用途</w:t>
      </w:r>
    </w:p>
    <w:p>
      <w:pPr>
        <w:shd w:val="clear"/>
        <w:spacing w:line="400" w:lineRule="exact"/>
        <w:ind w:firstLine="480"/>
        <w:rPr>
          <w:rFonts w:hint="eastAsia" w:ascii="宋体" w:hAnsi="宋体" w:cs="宋体"/>
          <w:sz w:val="24"/>
          <w:highlight w:val="none"/>
        </w:rPr>
      </w:pPr>
      <w:r>
        <w:rPr>
          <w:rFonts w:hint="eastAsia" w:ascii="宋体" w:hAnsi="宋体" w:cs="宋体"/>
          <w:sz w:val="24"/>
          <w:highlight w:val="none"/>
        </w:rPr>
        <w:t>基于对公司未来发展前景的信心和对公司价值的高度认可，在综合考虑公司近期股票二级市场表现，并结合公司经营情况、主营业务发展前景、公司财务状况以及未来的盈利能力等的基础上，为维护广大投资者的利益，增强投资者信心，公司拟实施股份回购。</w:t>
      </w:r>
    </w:p>
    <w:p>
      <w:pPr>
        <w:shd w:val="clear"/>
        <w:spacing w:line="400" w:lineRule="exact"/>
        <w:ind w:firstLine="480"/>
        <w:rPr>
          <w:rFonts w:hint="eastAsia" w:ascii="宋体" w:hAnsi="宋体" w:cs="宋体"/>
          <w:sz w:val="24"/>
          <w:highlight w:val="none"/>
        </w:rPr>
      </w:pPr>
      <w:r>
        <w:rPr>
          <w:rFonts w:hint="eastAsia" w:ascii="宋体" w:hAnsi="宋体" w:cs="宋体"/>
          <w:sz w:val="24"/>
          <w:highlight w:val="none"/>
        </w:rPr>
        <w:t>回购的公司股份全部用于</w:t>
      </w:r>
      <w:r>
        <w:rPr>
          <w:rFonts w:hint="eastAsia" w:ascii="宋体" w:hAnsi="宋体"/>
          <w:bCs/>
          <w:sz w:val="24"/>
          <w:highlight w:val="none"/>
        </w:rPr>
        <w:t>注销并减少注册资本</w:t>
      </w:r>
      <w:r>
        <w:rPr>
          <w:rFonts w:hint="eastAsia" w:ascii="宋体" w:hAnsi="宋体" w:cs="宋体"/>
          <w:sz w:val="24"/>
          <w:highlight w:val="none"/>
        </w:rPr>
        <w:t>。</w:t>
      </w:r>
    </w:p>
    <w:p>
      <w:pPr>
        <w:shd w:val="clear"/>
        <w:spacing w:beforeLines="30" w:line="400" w:lineRule="exact"/>
        <w:ind w:firstLine="482"/>
        <w:rPr>
          <w:rFonts w:hint="eastAsia" w:ascii="宋体" w:hAnsi="宋体"/>
          <w:b/>
          <w:sz w:val="24"/>
          <w:highlight w:val="none"/>
        </w:rPr>
      </w:pPr>
      <w:r>
        <w:rPr>
          <w:rFonts w:hint="eastAsia" w:ascii="宋体" w:hAnsi="宋体"/>
          <w:b/>
          <w:sz w:val="24"/>
          <w:highlight w:val="none"/>
        </w:rPr>
        <w:t>（二）回购股份符合相关条件</w:t>
      </w:r>
    </w:p>
    <w:p>
      <w:pPr>
        <w:shd w:val="clear"/>
        <w:spacing w:line="400" w:lineRule="exact"/>
        <w:ind w:firstLine="480"/>
        <w:rPr>
          <w:rFonts w:hint="default" w:ascii="宋体" w:hAnsi="宋体" w:cs="宋体"/>
          <w:sz w:val="24"/>
          <w:highlight w:val="none"/>
        </w:rPr>
      </w:pPr>
      <w:r>
        <w:rPr>
          <w:rFonts w:hint="eastAsia" w:ascii="宋体" w:hAnsi="宋体" w:cs="宋体"/>
          <w:sz w:val="24"/>
          <w:highlight w:val="none"/>
        </w:rPr>
        <w:t>本次公司回购股份符合《深圳证券交易所上市公司回购股份实施细则》规定</w:t>
      </w:r>
      <w:r>
        <w:rPr>
          <w:rFonts w:hint="default" w:ascii="宋体" w:hAnsi="宋体" w:cs="宋体"/>
          <w:sz w:val="24"/>
          <w:highlight w:val="none"/>
        </w:rPr>
        <w:t>的相关条件：</w:t>
      </w:r>
    </w:p>
    <w:p>
      <w:pPr>
        <w:numPr>
          <w:ilvl w:val="0"/>
          <w:numId w:val="4"/>
        </w:numPr>
        <w:shd w:val="clear"/>
        <w:spacing w:line="400" w:lineRule="exact"/>
        <w:ind w:firstLine="480"/>
        <w:rPr>
          <w:rFonts w:hint="default" w:ascii="宋体" w:hAnsi="宋体" w:cs="宋体"/>
          <w:sz w:val="24"/>
          <w:highlight w:val="none"/>
        </w:rPr>
      </w:pPr>
      <w:r>
        <w:rPr>
          <w:rFonts w:hint="default" w:ascii="宋体" w:hAnsi="宋体" w:cs="宋体"/>
          <w:sz w:val="24"/>
          <w:highlight w:val="none"/>
        </w:rPr>
        <w:t>公司股票上市已满一年；</w:t>
      </w:r>
    </w:p>
    <w:p>
      <w:pPr>
        <w:numPr>
          <w:ilvl w:val="0"/>
          <w:numId w:val="4"/>
        </w:numPr>
        <w:shd w:val="clear"/>
        <w:spacing w:line="400" w:lineRule="exact"/>
        <w:ind w:firstLine="480"/>
        <w:rPr>
          <w:rFonts w:hint="eastAsia" w:ascii="宋体" w:hAnsi="宋体" w:cs="宋体"/>
          <w:sz w:val="24"/>
          <w:highlight w:val="none"/>
        </w:rPr>
      </w:pPr>
      <w:r>
        <w:rPr>
          <w:rFonts w:hint="default" w:ascii="宋体" w:hAnsi="宋体" w:cs="宋体"/>
          <w:sz w:val="24"/>
          <w:highlight w:val="none"/>
        </w:rPr>
        <w:t>回购股份后，公司具备债务履行能力和持续经营能力；</w:t>
      </w:r>
    </w:p>
    <w:p>
      <w:pPr>
        <w:numPr>
          <w:ilvl w:val="0"/>
          <w:numId w:val="4"/>
        </w:numPr>
        <w:shd w:val="clear"/>
        <w:spacing w:line="400" w:lineRule="exact"/>
        <w:ind w:firstLine="480"/>
        <w:rPr>
          <w:rFonts w:hint="eastAsia" w:ascii="宋体" w:hAnsi="宋体" w:cs="宋体"/>
          <w:sz w:val="24"/>
          <w:highlight w:val="none"/>
        </w:rPr>
      </w:pPr>
      <w:r>
        <w:rPr>
          <w:rFonts w:hint="default" w:ascii="宋体" w:hAnsi="宋体" w:cs="宋体"/>
          <w:sz w:val="24"/>
          <w:highlight w:val="none"/>
        </w:rPr>
        <w:t>回购股份后，公司的股权分布符合上市条件；</w:t>
      </w:r>
    </w:p>
    <w:p>
      <w:pPr>
        <w:numPr>
          <w:ilvl w:val="0"/>
          <w:numId w:val="4"/>
        </w:numPr>
        <w:shd w:val="clear"/>
        <w:spacing w:line="400" w:lineRule="exact"/>
        <w:ind w:firstLine="480"/>
        <w:rPr>
          <w:rFonts w:hint="eastAsia" w:ascii="宋体" w:hAnsi="宋体" w:cs="宋体"/>
          <w:sz w:val="24"/>
          <w:highlight w:val="none"/>
        </w:rPr>
      </w:pPr>
      <w:r>
        <w:rPr>
          <w:rFonts w:hint="default" w:ascii="宋体" w:hAnsi="宋体" w:cs="宋体"/>
          <w:sz w:val="24"/>
          <w:highlight w:val="none"/>
        </w:rPr>
        <w:t>中国证监会规定的其他条件。</w:t>
      </w:r>
    </w:p>
    <w:p>
      <w:pPr>
        <w:shd w:val="clear"/>
        <w:spacing w:beforeLines="30" w:line="400" w:lineRule="exact"/>
        <w:ind w:firstLine="482"/>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eastAsia="zh-CN"/>
        </w:rPr>
        <w:t>三</w:t>
      </w:r>
      <w:r>
        <w:rPr>
          <w:rFonts w:hint="eastAsia" w:ascii="宋体" w:hAnsi="宋体"/>
          <w:b/>
          <w:sz w:val="24"/>
          <w:highlight w:val="none"/>
        </w:rPr>
        <w:t>）拟回购股份的方式、价格区间</w:t>
      </w:r>
    </w:p>
    <w:p>
      <w:pPr>
        <w:shd w:val="clear"/>
        <w:spacing w:line="400" w:lineRule="exact"/>
        <w:ind w:firstLine="480"/>
        <w:rPr>
          <w:rFonts w:ascii="宋体" w:hAnsi="宋体" w:eastAsia="宋体" w:cs="宋体"/>
          <w:bCs/>
          <w:sz w:val="24"/>
          <w:highlight w:val="none"/>
        </w:rPr>
      </w:pPr>
      <w:r>
        <w:rPr>
          <w:rFonts w:hint="eastAsia" w:ascii="宋体" w:hAnsi="宋体" w:eastAsia="宋体" w:cs="宋体"/>
          <w:bCs/>
          <w:sz w:val="24"/>
          <w:highlight w:val="none"/>
        </w:rPr>
        <w:t>公司通过深圳证券交易所交易系统以集中竞价交易方式进行回购公司部分已发行的社会公众股份。</w:t>
      </w:r>
    </w:p>
    <w:p>
      <w:pPr>
        <w:shd w:val="clear"/>
        <w:spacing w:line="400" w:lineRule="exact"/>
        <w:ind w:firstLine="480"/>
        <w:rPr>
          <w:rFonts w:ascii="宋体" w:hAnsi="宋体" w:eastAsia="宋体" w:cs="宋体"/>
          <w:bCs/>
          <w:sz w:val="24"/>
          <w:highlight w:val="none"/>
        </w:rPr>
      </w:pPr>
      <w:r>
        <w:rPr>
          <w:rFonts w:hint="eastAsia" w:ascii="宋体" w:hAnsi="宋体" w:eastAsia="宋体" w:cs="宋体"/>
          <w:bCs/>
          <w:sz w:val="24"/>
          <w:highlight w:val="none"/>
        </w:rPr>
        <w:t>为保护投资者利益，结合近期公司股价，本次回购股份价格不超过人民币</w:t>
      </w:r>
      <w:r>
        <w:rPr>
          <w:rFonts w:hint="eastAsia" w:ascii="宋体" w:hAnsi="宋体" w:eastAsia="宋体" w:cs="宋体"/>
          <w:bCs/>
          <w:sz w:val="24"/>
          <w:highlight w:val="none"/>
          <w:lang w:val="en-US" w:eastAsia="zh-CN"/>
        </w:rPr>
        <w:t>10.00</w:t>
      </w:r>
      <w:r>
        <w:rPr>
          <w:rFonts w:hint="eastAsia" w:ascii="宋体" w:hAnsi="宋体" w:eastAsia="宋体" w:cs="宋体"/>
          <w:bCs/>
          <w:sz w:val="24"/>
          <w:highlight w:val="none"/>
        </w:rPr>
        <w:t>元/股（含），未超过公司董事会通过回购股份决议前三十个交易日公司股票交易均价150%。具体回购价格由董事会授权公司管理层在回购实施期间结合公司股票价格、财务状况和经营状况确定。</w:t>
      </w:r>
    </w:p>
    <w:p>
      <w:pPr>
        <w:shd w:val="clear"/>
        <w:spacing w:line="400" w:lineRule="exact"/>
        <w:ind w:firstLine="480"/>
        <w:rPr>
          <w:rFonts w:ascii="宋体" w:hAnsi="宋体"/>
          <w:bCs/>
          <w:sz w:val="24"/>
          <w:highlight w:val="none"/>
        </w:rPr>
      </w:pPr>
      <w:r>
        <w:rPr>
          <w:rFonts w:hint="eastAsia" w:ascii="宋体" w:hAnsi="宋体" w:eastAsia="宋体" w:cs="宋体"/>
          <w:bCs/>
          <w:sz w:val="24"/>
          <w:highlight w:val="none"/>
        </w:rPr>
        <w:t>若公司在回购期内发生资本公积转增股本、派发股票或现金红利、股票拆细、缩股、配股或发行股本权证等事宜，自股价除权除息之日起，相应调整回购价格上限。</w:t>
      </w:r>
    </w:p>
    <w:p>
      <w:pPr>
        <w:shd w:val="clear"/>
        <w:spacing w:beforeLines="30" w:line="400" w:lineRule="exact"/>
        <w:ind w:firstLine="482"/>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eastAsia="zh-CN"/>
        </w:rPr>
        <w:t>四</w:t>
      </w:r>
      <w:r>
        <w:rPr>
          <w:rFonts w:hint="eastAsia" w:ascii="宋体" w:hAnsi="宋体"/>
          <w:b/>
          <w:sz w:val="24"/>
          <w:highlight w:val="none"/>
        </w:rPr>
        <w:t>）拟回购股份的种类、数量、占公司总股本的比例及拟用于回购的资金总额</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1、回购股份的种类：本公司已发行的 A 股股份。</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2、回购的资金数量和占公司总股本比例：公司用于回购的资金总额不低于人民币</w:t>
      </w:r>
      <w:r>
        <w:rPr>
          <w:rFonts w:hint="eastAsia" w:ascii="宋体" w:hAnsi="宋体"/>
          <w:bCs/>
          <w:sz w:val="24"/>
          <w:highlight w:val="none"/>
          <w:lang w:val="en-US" w:eastAsia="zh-CN"/>
        </w:rPr>
        <w:t>1.5</w:t>
      </w:r>
      <w:r>
        <w:rPr>
          <w:rFonts w:hint="eastAsia" w:ascii="宋体" w:hAnsi="宋体"/>
          <w:bCs/>
          <w:sz w:val="24"/>
          <w:highlight w:val="none"/>
        </w:rPr>
        <w:t>亿元（含）且不超过人民币</w:t>
      </w:r>
      <w:r>
        <w:rPr>
          <w:rFonts w:hint="eastAsia" w:ascii="宋体" w:hAnsi="宋体"/>
          <w:bCs/>
          <w:sz w:val="24"/>
          <w:highlight w:val="none"/>
          <w:lang w:val="en-US" w:eastAsia="zh-CN"/>
        </w:rPr>
        <w:t>3</w:t>
      </w:r>
      <w:r>
        <w:rPr>
          <w:rFonts w:hint="eastAsia" w:ascii="宋体" w:hAnsi="宋体"/>
          <w:bCs/>
          <w:sz w:val="24"/>
          <w:highlight w:val="none"/>
        </w:rPr>
        <w:t>亿元（含）</w:t>
      </w:r>
      <w:r>
        <w:rPr>
          <w:rFonts w:hint="eastAsia" w:ascii="宋体" w:hAnsi="宋体" w:eastAsia="宋体" w:cs="宋体"/>
          <w:sz w:val="24"/>
          <w:szCs w:val="24"/>
          <w:highlight w:val="none"/>
        </w:rPr>
        <w:t>，预计回购股份约为</w:t>
      </w:r>
      <w:r>
        <w:rPr>
          <w:rFonts w:hint="eastAsia" w:ascii="宋体" w:hAnsi="宋体" w:eastAsia="宋体"/>
          <w:bCs/>
          <w:sz w:val="24"/>
          <w:highlight w:val="none"/>
          <w:lang w:val="en-US" w:eastAsia="zh-CN"/>
        </w:rPr>
        <w:t>3,000</w:t>
      </w:r>
      <w:r>
        <w:rPr>
          <w:rFonts w:hint="eastAsia" w:ascii="宋体" w:hAnsi="宋体" w:eastAsia="宋体" w:cs="宋体"/>
          <w:sz w:val="24"/>
          <w:szCs w:val="24"/>
          <w:highlight w:val="none"/>
        </w:rPr>
        <w:t>万股</w:t>
      </w:r>
      <w:r>
        <w:rPr>
          <w:rFonts w:hint="eastAsia" w:ascii="宋体" w:hAnsi="宋体" w:cs="宋体"/>
          <w:sz w:val="24"/>
          <w:highlight w:val="none"/>
        </w:rPr>
        <w:t>（按回购最高价格</w:t>
      </w:r>
      <w:r>
        <w:rPr>
          <w:rFonts w:hint="eastAsia" w:ascii="宋体" w:hAnsi="宋体" w:cs="宋体"/>
          <w:sz w:val="24"/>
          <w:highlight w:val="none"/>
          <w:lang w:val="en-US" w:eastAsia="zh-CN"/>
        </w:rPr>
        <w:t>10.00</w:t>
      </w:r>
      <w:r>
        <w:rPr>
          <w:rFonts w:hint="eastAsia" w:ascii="宋体" w:hAnsi="宋体" w:cs="宋体"/>
          <w:sz w:val="24"/>
          <w:highlight w:val="none"/>
        </w:rPr>
        <w:t>元/股为参考）</w:t>
      </w:r>
      <w:r>
        <w:rPr>
          <w:rFonts w:hint="eastAsia" w:ascii="宋体" w:hAnsi="宋体" w:eastAsia="宋体" w:cs="宋体"/>
          <w:sz w:val="24"/>
          <w:szCs w:val="24"/>
          <w:highlight w:val="none"/>
        </w:rPr>
        <w:t>,占公司总股本的</w:t>
      </w:r>
      <w:r>
        <w:rPr>
          <w:rFonts w:hint="eastAsia" w:ascii="宋体" w:hAnsi="宋体" w:eastAsia="宋体" w:cs="宋体"/>
          <w:sz w:val="24"/>
          <w:szCs w:val="24"/>
          <w:highlight w:val="none"/>
          <w:lang w:val="en-US" w:eastAsia="zh-CN"/>
        </w:rPr>
        <w:t>3.87</w:t>
      </w:r>
      <w:r>
        <w:rPr>
          <w:rFonts w:hint="eastAsia" w:ascii="宋体" w:hAnsi="宋体" w:eastAsia="宋体" w:cs="宋体"/>
          <w:sz w:val="24"/>
          <w:szCs w:val="24"/>
          <w:highlight w:val="none"/>
        </w:rPr>
        <w:t>%。</w:t>
      </w:r>
      <w:r>
        <w:rPr>
          <w:rFonts w:hint="eastAsia" w:ascii="宋体" w:hAnsi="宋体" w:cs="宋体"/>
          <w:sz w:val="24"/>
          <w:highlight w:val="none"/>
          <w:lang w:val="en-US" w:eastAsia="zh-CN"/>
        </w:rPr>
        <w:t>具体回购资金总额、回购股份数量以回购完成时实际回购股份使用的资金总额、回购股份数量为准。</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如公司在回购期内实施资本公积转增股本、派发股票、缩股、配股、现金分红等除权除息事宜，自股价除权除息之日起，按照中国证监会及深圳证券交易所的相关规定相应调整回购股份数量。</w:t>
      </w:r>
      <w:r>
        <w:rPr>
          <w:rFonts w:ascii="宋体" w:hAnsi="宋体" w:eastAsia="宋体" w:cs="宋体"/>
          <w:sz w:val="24"/>
          <w:szCs w:val="24"/>
          <w:highlight w:val="none"/>
        </w:rPr>
        <w:t xml:space="preserve"> </w:t>
      </w:r>
    </w:p>
    <w:p>
      <w:pPr>
        <w:shd w:val="clear"/>
        <w:spacing w:beforeLines="30" w:line="400" w:lineRule="exact"/>
        <w:ind w:firstLine="482"/>
        <w:rPr>
          <w:rFonts w:ascii="宋体" w:hAnsi="宋体" w:eastAsia="宋体" w:cs="宋体"/>
          <w:sz w:val="24"/>
          <w:szCs w:val="24"/>
          <w:highlight w:val="none"/>
        </w:rPr>
      </w:pPr>
      <w:r>
        <w:rPr>
          <w:rFonts w:hint="eastAsia" w:ascii="宋体" w:hAnsi="宋体"/>
          <w:b/>
          <w:sz w:val="24"/>
          <w:highlight w:val="none"/>
        </w:rPr>
        <w:t>（</w:t>
      </w:r>
      <w:r>
        <w:rPr>
          <w:rFonts w:hint="eastAsia" w:ascii="宋体" w:hAnsi="宋体"/>
          <w:b/>
          <w:sz w:val="24"/>
          <w:highlight w:val="none"/>
          <w:lang w:eastAsia="zh-CN"/>
        </w:rPr>
        <w:t>五</w:t>
      </w:r>
      <w:r>
        <w:rPr>
          <w:rFonts w:hint="eastAsia" w:ascii="宋体" w:hAnsi="宋体"/>
          <w:b/>
          <w:sz w:val="24"/>
          <w:highlight w:val="none"/>
        </w:rPr>
        <w:t>）回购股份</w:t>
      </w:r>
      <w:r>
        <w:rPr>
          <w:rFonts w:hint="eastAsia" w:ascii="宋体" w:hAnsi="宋体" w:cs="宋体"/>
          <w:b/>
          <w:bCs/>
          <w:sz w:val="24"/>
          <w:highlight w:val="none"/>
        </w:rPr>
        <w:t>资金来源</w:t>
      </w:r>
      <w:r>
        <w:rPr>
          <w:rFonts w:ascii="宋体" w:hAnsi="宋体" w:eastAsia="宋体" w:cs="宋体"/>
          <w:sz w:val="24"/>
          <w:szCs w:val="24"/>
          <w:highlight w:val="none"/>
        </w:rPr>
        <w:t xml:space="preserve"> </w:t>
      </w:r>
    </w:p>
    <w:p>
      <w:pPr>
        <w:shd w:val="clear"/>
        <w:spacing w:line="400" w:lineRule="exact"/>
        <w:ind w:firstLine="480"/>
        <w:rPr>
          <w:rFonts w:ascii="宋体" w:hAnsi="宋体"/>
          <w:bCs/>
          <w:sz w:val="24"/>
          <w:highlight w:val="none"/>
        </w:rPr>
      </w:pPr>
      <w:r>
        <w:rPr>
          <w:rFonts w:hint="eastAsia" w:ascii="宋体" w:hAnsi="宋体"/>
          <w:bCs/>
          <w:sz w:val="24"/>
          <w:highlight w:val="none"/>
        </w:rPr>
        <w:t>资金来源全部为公司</w:t>
      </w:r>
      <w:r>
        <w:rPr>
          <w:rFonts w:ascii="宋体" w:hAnsi="宋体" w:eastAsia="宋体" w:cs="宋体"/>
          <w:sz w:val="24"/>
          <w:szCs w:val="24"/>
          <w:highlight w:val="none"/>
        </w:rPr>
        <w:t>自有资金或自筹资金</w:t>
      </w:r>
      <w:r>
        <w:rPr>
          <w:rFonts w:hint="eastAsia" w:ascii="宋体" w:hAnsi="宋体"/>
          <w:bCs/>
          <w:sz w:val="24"/>
          <w:highlight w:val="none"/>
        </w:rPr>
        <w:t>。</w:t>
      </w:r>
    </w:p>
    <w:p>
      <w:pPr>
        <w:shd w:val="clear"/>
        <w:spacing w:beforeLines="30" w:line="400" w:lineRule="exact"/>
        <w:ind w:firstLine="482"/>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eastAsia="zh-CN"/>
        </w:rPr>
        <w:t>六</w:t>
      </w:r>
      <w:r>
        <w:rPr>
          <w:rFonts w:hint="eastAsia" w:ascii="宋体" w:hAnsi="宋体"/>
          <w:b/>
          <w:sz w:val="24"/>
          <w:highlight w:val="none"/>
        </w:rPr>
        <w:t>）回购股份的实施期限</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回购股份实施期限为</w:t>
      </w:r>
      <w:r>
        <w:rPr>
          <w:rFonts w:hint="eastAsia" w:ascii="宋体" w:hAnsi="宋体" w:eastAsia="宋体" w:cs="宋体"/>
          <w:sz w:val="24"/>
          <w:szCs w:val="24"/>
          <w:highlight w:val="none"/>
          <w:lang w:val="en-US" w:eastAsia="zh-CN"/>
        </w:rPr>
        <w:t>自股东大会</w:t>
      </w:r>
      <w:r>
        <w:rPr>
          <w:rFonts w:hint="eastAsia" w:ascii="宋体" w:hAnsi="宋体" w:eastAsia="宋体" w:cs="宋体"/>
          <w:sz w:val="24"/>
          <w:szCs w:val="24"/>
          <w:highlight w:val="none"/>
        </w:rPr>
        <w:t>审议通过本次回购股份方案之日起</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个月内。回购方案实施期间，公司股票因筹划重大事项连续停牌十个交易日以上的，回购期限可予以顺延，但顺延后期限仍不得超过</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个月，若出现该情形，公司将及时披露是否顺延实施。</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1、 如果触及以下条件，则回购期限提前届满</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（1）如果在回购期限内回购资金使用金额达到最高限额，则回购方案即实施完毕，回购期限自该日起提前届满。</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（2）如公司董事会决定终止本回购方案，则回购期限自董事会决议终止本回购方案之日起提前届满。</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2、公司不得在下列期间内回购公司股票</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（1）上市公司定期报告、业绩预告或者业绩快报公告前十个交易日内；</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（2）自可能对本公司股票交易价格产生重大影响的重大事项发生之日或者在决策过程中，至依法披露后两个交易日内；</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（3）中国证监会规定的其他情形。</w:t>
      </w:r>
    </w:p>
    <w:p>
      <w:pPr>
        <w:shd w:val="clear"/>
        <w:spacing w:beforeLines="30" w:line="400" w:lineRule="exact"/>
        <w:ind w:firstLine="480"/>
        <w:rPr>
          <w:rFonts w:ascii="宋体" w:hAnsi="宋体"/>
          <w:b/>
          <w:sz w:val="24"/>
          <w:highlight w:val="none"/>
        </w:rPr>
      </w:pPr>
      <w:r>
        <w:rPr>
          <w:rFonts w:ascii="宋体" w:hAnsi="宋体" w:eastAsia="宋体" w:cs="宋体"/>
          <w:sz w:val="24"/>
          <w:szCs w:val="24"/>
          <w:highlight w:val="none"/>
        </w:rPr>
        <w:t xml:space="preserve"> </w:t>
      </w:r>
      <w:r>
        <w:rPr>
          <w:rFonts w:hint="eastAsia" w:ascii="宋体" w:hAnsi="宋体"/>
          <w:b/>
          <w:sz w:val="24"/>
          <w:highlight w:val="none"/>
        </w:rPr>
        <w:t>（</w:t>
      </w:r>
      <w:r>
        <w:rPr>
          <w:rFonts w:hint="eastAsia" w:ascii="宋体" w:hAnsi="宋体"/>
          <w:b/>
          <w:sz w:val="24"/>
          <w:highlight w:val="none"/>
          <w:lang w:eastAsia="zh-CN"/>
        </w:rPr>
        <w:t>七</w:t>
      </w:r>
      <w:r>
        <w:rPr>
          <w:rFonts w:hint="eastAsia" w:ascii="宋体" w:hAnsi="宋体"/>
          <w:b/>
          <w:sz w:val="24"/>
          <w:highlight w:val="none"/>
        </w:rPr>
        <w:t>）办理本次回购股份的具体授权事项</w:t>
      </w:r>
    </w:p>
    <w:p>
      <w:pPr>
        <w:shd w:val="clea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为顺利实施公司本次回购股份方案，公司股东大会授权董事会在法律法规允许的范围内，全权办理本次回购股份相关事宜，授权内容及范围包括但不限于：</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1、授权公司管理层设立回购专用证券账户及办理其他相关事务；</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2、根据有关规定择机回购公司股份，包括回购股份的具体时间、价格、数量、方式等；</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3、依据有关法律法规及监管部门的规定调整具体实施方案（涉及有关法律、法规及《公司章程》规定须由董事会重新表决的事项除外），办理与股份回购有关的其他事宜；</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4、制作、修改、补充、签署、递交、呈报、执行本次回购部分社会公众股份过程中发生的一切协议、合同和文件，并进行相关申报；</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5、决定聘请相关中介机构；</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6、其他以上虽未列明但为本次股份回购及处置回购股份所必须的事项。</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上述授权自公司股东大会审议通过本次回购方案之日起至上述授权事项办理完毕之日止。</w:t>
      </w:r>
    </w:p>
    <w:p>
      <w:pPr>
        <w:shd w:val="clear"/>
        <w:spacing w:beforeLines="30" w:line="400" w:lineRule="exact"/>
        <w:ind w:firstLine="482"/>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eastAsia="zh-CN"/>
        </w:rPr>
        <w:t>八</w:t>
      </w:r>
      <w:r>
        <w:rPr>
          <w:rFonts w:hint="eastAsia" w:ascii="宋体" w:hAnsi="宋体"/>
          <w:b/>
          <w:sz w:val="24"/>
          <w:highlight w:val="none"/>
        </w:rPr>
        <w:t>）预计回购后公司股权结构的变动情况</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1、若按本次回购金额</w:t>
      </w:r>
      <w:r>
        <w:rPr>
          <w:rFonts w:hint="eastAsia" w:ascii="宋体" w:hAnsi="宋体" w:eastAsia="宋体" w:cs="宋体"/>
          <w:sz w:val="24"/>
          <w:szCs w:val="24"/>
          <w:highlight w:val="none"/>
          <w:lang w:val="en-US" w:eastAsia="zh-CN"/>
        </w:rPr>
        <w:t>下限</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lang w:val="en-US" w:eastAsia="zh-CN"/>
        </w:rPr>
        <w:t>1.5亿</w:t>
      </w:r>
      <w:r>
        <w:rPr>
          <w:rFonts w:hint="eastAsia" w:ascii="宋体" w:hAnsi="宋体" w:eastAsia="宋体" w:cs="宋体"/>
          <w:sz w:val="24"/>
          <w:szCs w:val="24"/>
          <w:highlight w:val="none"/>
        </w:rPr>
        <w:t>元，回购股份价格不超过人民币</w:t>
      </w:r>
      <w:r>
        <w:rPr>
          <w:rFonts w:hint="eastAsia" w:ascii="宋体" w:hAnsi="宋体" w:eastAsia="宋体" w:cs="宋体"/>
          <w:sz w:val="24"/>
          <w:szCs w:val="24"/>
          <w:highlight w:val="none"/>
          <w:lang w:val="en-US" w:eastAsia="zh-CN"/>
        </w:rPr>
        <w:t>10.00</w:t>
      </w:r>
      <w:r>
        <w:rPr>
          <w:rFonts w:hint="eastAsia" w:ascii="宋体" w:hAnsi="宋体" w:eastAsia="宋体" w:cs="宋体"/>
          <w:sz w:val="24"/>
          <w:szCs w:val="24"/>
          <w:highlight w:val="none"/>
        </w:rPr>
        <w:t>元/股测算，预计回购数量约为</w:t>
      </w:r>
      <w:r>
        <w:rPr>
          <w:rFonts w:hint="eastAsia" w:ascii="宋体" w:hAnsi="宋体" w:eastAsia="宋体" w:cs="宋体"/>
          <w:sz w:val="24"/>
          <w:szCs w:val="24"/>
          <w:highlight w:val="none"/>
          <w:lang w:val="en-US" w:eastAsia="zh-CN"/>
        </w:rPr>
        <w:t>1,500</w:t>
      </w:r>
      <w:r>
        <w:rPr>
          <w:rFonts w:hint="eastAsia" w:ascii="宋体" w:hAnsi="宋体" w:eastAsia="宋体" w:cs="宋体"/>
          <w:sz w:val="24"/>
          <w:szCs w:val="24"/>
          <w:highlight w:val="none"/>
        </w:rPr>
        <w:t>万股，占目前公司总股本的</w:t>
      </w:r>
      <w:r>
        <w:rPr>
          <w:rFonts w:hint="eastAsia" w:ascii="宋体" w:hAnsi="宋体" w:eastAsia="宋体" w:cs="宋体"/>
          <w:sz w:val="24"/>
          <w:szCs w:val="24"/>
          <w:highlight w:val="none"/>
          <w:lang w:val="en-US" w:eastAsia="zh-CN"/>
        </w:rPr>
        <w:t>1.94</w:t>
      </w:r>
      <w:r>
        <w:rPr>
          <w:rFonts w:hint="eastAsia" w:ascii="宋体" w:hAnsi="宋体" w:eastAsia="宋体" w:cs="宋体"/>
          <w:sz w:val="24"/>
          <w:szCs w:val="24"/>
          <w:highlight w:val="none"/>
        </w:rPr>
        <w:t>%。按照截至</w:t>
      </w:r>
      <w:r>
        <w:rPr>
          <w:rFonts w:hint="eastAsia" w:ascii="宋体" w:hAnsi="宋体" w:eastAsia="宋体" w:cs="宋体"/>
          <w:sz w:val="24"/>
          <w:szCs w:val="24"/>
          <w:highlight w:val="none"/>
          <w:lang w:val="en-US" w:eastAsia="zh-CN"/>
        </w:rPr>
        <w:t>2020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日公司股本结构测算，若回购股份全部用于</w:t>
      </w:r>
      <w:r>
        <w:rPr>
          <w:rFonts w:hint="eastAsia" w:ascii="宋体" w:hAnsi="宋体"/>
          <w:bCs/>
          <w:sz w:val="24"/>
          <w:highlight w:val="none"/>
        </w:rPr>
        <w:t>注销并减少注册资本</w:t>
      </w:r>
      <w:r>
        <w:rPr>
          <w:rFonts w:hint="eastAsia" w:ascii="宋体" w:hAnsi="宋体" w:eastAsia="宋体" w:cs="宋体"/>
          <w:sz w:val="24"/>
          <w:szCs w:val="24"/>
          <w:highlight w:val="none"/>
        </w:rPr>
        <w:t>，预计回购</w:t>
      </w:r>
      <w:r>
        <w:rPr>
          <w:rFonts w:hint="eastAsia" w:ascii="宋体" w:hAnsi="宋体" w:eastAsia="宋体" w:cs="宋体"/>
          <w:sz w:val="24"/>
          <w:szCs w:val="24"/>
          <w:highlight w:val="none"/>
          <w:lang w:val="en-US" w:eastAsia="zh-CN"/>
        </w:rPr>
        <w:t>注销</w:t>
      </w:r>
      <w:r>
        <w:rPr>
          <w:rFonts w:hint="eastAsia" w:ascii="宋体" w:hAnsi="宋体" w:eastAsia="宋体" w:cs="宋体"/>
          <w:sz w:val="24"/>
          <w:szCs w:val="24"/>
          <w:highlight w:val="none"/>
        </w:rPr>
        <w:t>后公司股权结构变化情况如下：</w:t>
      </w:r>
    </w:p>
    <w:p>
      <w:pPr>
        <w:shd w:val="clear"/>
        <w:spacing w:line="400" w:lineRule="exact"/>
        <w:ind w:firstLine="480"/>
        <w:jc w:val="right"/>
        <w:rPr>
          <w:rFonts w:ascii="宋体" w:hAnsi="宋体" w:eastAsia="宋体" w:cs="宋体"/>
          <w:sz w:val="24"/>
          <w:szCs w:val="24"/>
          <w:highlight w:val="none"/>
        </w:rPr>
      </w:pPr>
      <w:r>
        <w:rPr>
          <w:rFonts w:hint="eastAsia" w:ascii="宋体" w:hAnsi="宋体" w:eastAsia="宋体" w:cs="宋体"/>
          <w:sz w:val="24"/>
          <w:szCs w:val="24"/>
          <w:highlight w:val="none"/>
        </w:rPr>
        <w:t>单位：股</w:t>
      </w:r>
    </w:p>
    <w:tbl>
      <w:tblPr>
        <w:tblStyle w:val="4"/>
        <w:tblW w:w="920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1701"/>
        <w:gridCol w:w="1134"/>
        <w:gridCol w:w="155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Merge w:val="restart"/>
            <w:vAlign w:val="center"/>
          </w:tcPr>
          <w:p>
            <w:pPr>
              <w:shd w:val="clear"/>
              <w:spacing w:line="400" w:lineRule="exact"/>
              <w:ind w:firstLineChars="0"/>
              <w:jc w:val="center"/>
              <w:rPr>
                <w:rFonts w:ascii="宋体" w:hAnsi="宋体" w:eastAsia="宋体" w:cs="宋体"/>
                <w:sz w:val="24"/>
                <w:szCs w:val="24"/>
                <w:highlight w:val="none"/>
              </w:rPr>
            </w:pPr>
          </w:p>
        </w:tc>
        <w:tc>
          <w:tcPr>
            <w:tcW w:w="2835" w:type="dxa"/>
            <w:gridSpan w:val="2"/>
            <w:vAlign w:val="center"/>
          </w:tcPr>
          <w:p>
            <w:pPr>
              <w:shd w:val="clear"/>
              <w:spacing w:line="400" w:lineRule="exact"/>
              <w:ind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本次变动前</w:t>
            </w:r>
          </w:p>
        </w:tc>
        <w:tc>
          <w:tcPr>
            <w:tcW w:w="2812" w:type="dxa"/>
            <w:gridSpan w:val="2"/>
            <w:vAlign w:val="center"/>
          </w:tcPr>
          <w:p>
            <w:pPr>
              <w:shd w:val="clear"/>
              <w:spacing w:line="400" w:lineRule="exact"/>
              <w:ind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Merge w:val="continue"/>
            <w:vAlign w:val="center"/>
          </w:tcPr>
          <w:p>
            <w:pPr>
              <w:shd w:val="clear"/>
              <w:spacing w:line="400" w:lineRule="exact"/>
              <w:ind w:firstLineChars="0"/>
              <w:jc w:val="center"/>
              <w:rPr>
                <w:rFonts w:ascii="宋体" w:hAnsi="宋体" w:eastAsia="宋体" w:cs="宋体"/>
                <w:sz w:val="24"/>
                <w:szCs w:val="24"/>
                <w:highlight w:val="none"/>
              </w:rPr>
            </w:pPr>
          </w:p>
        </w:tc>
        <w:tc>
          <w:tcPr>
            <w:tcW w:w="1701" w:type="dxa"/>
            <w:vAlign w:val="center"/>
          </w:tcPr>
          <w:p>
            <w:pPr>
              <w:shd w:val="clear"/>
              <w:spacing w:line="400" w:lineRule="exact"/>
              <w:ind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1134" w:type="dxa"/>
            <w:vAlign w:val="center"/>
          </w:tcPr>
          <w:p>
            <w:pPr>
              <w:shd w:val="clear"/>
              <w:spacing w:line="400" w:lineRule="exact"/>
              <w:ind w:firstLine="34"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比例（%）</w:t>
            </w:r>
          </w:p>
        </w:tc>
        <w:tc>
          <w:tcPr>
            <w:tcW w:w="1559" w:type="dxa"/>
            <w:vAlign w:val="center"/>
          </w:tcPr>
          <w:p>
            <w:pPr>
              <w:shd w:val="clear"/>
              <w:spacing w:line="400" w:lineRule="exact"/>
              <w:ind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1253" w:type="dxa"/>
            <w:vAlign w:val="center"/>
          </w:tcPr>
          <w:p>
            <w:pPr>
              <w:shd w:val="clear"/>
              <w:spacing w:line="400" w:lineRule="exact"/>
              <w:ind w:firstLine="34"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Align w:val="center"/>
          </w:tcPr>
          <w:p>
            <w:pPr>
              <w:shd w:val="clear"/>
              <w:spacing w:line="400" w:lineRule="exact"/>
              <w:ind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一、限售条件流通股/非流通股</w:t>
            </w:r>
          </w:p>
        </w:tc>
        <w:tc>
          <w:tcPr>
            <w:tcW w:w="1701" w:type="dxa"/>
            <w:vAlign w:val="center"/>
          </w:tcPr>
          <w:p>
            <w:pPr>
              <w:widowControl/>
              <w:shd w:val="clear"/>
              <w:spacing w:line="40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50,560,470</w:t>
            </w:r>
          </w:p>
        </w:tc>
        <w:tc>
          <w:tcPr>
            <w:tcW w:w="1134" w:type="dxa"/>
            <w:vAlign w:val="center"/>
          </w:tcPr>
          <w:p>
            <w:pPr>
              <w:widowControl/>
              <w:shd w:val="clear"/>
              <w:spacing w:line="40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6.53</w:t>
            </w:r>
          </w:p>
        </w:tc>
        <w:tc>
          <w:tcPr>
            <w:tcW w:w="1559" w:type="dxa"/>
            <w:vAlign w:val="center"/>
          </w:tcPr>
          <w:p>
            <w:pPr>
              <w:shd w:val="clear"/>
              <w:spacing w:line="400" w:lineRule="exact"/>
              <w:ind w:firstLine="0" w:firstLineChars="0"/>
              <w:jc w:val="righ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50,560,470</w:t>
            </w:r>
          </w:p>
        </w:tc>
        <w:tc>
          <w:tcPr>
            <w:tcW w:w="1253" w:type="dxa"/>
            <w:vAlign w:val="center"/>
          </w:tcPr>
          <w:p>
            <w:pPr>
              <w:shd w:val="clear"/>
              <w:spacing w:line="40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Align w:val="center"/>
          </w:tcPr>
          <w:p>
            <w:pPr>
              <w:shd w:val="clear"/>
              <w:spacing w:line="400" w:lineRule="exact"/>
              <w:ind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二、无限售条件流通股</w:t>
            </w:r>
          </w:p>
        </w:tc>
        <w:tc>
          <w:tcPr>
            <w:tcW w:w="1701" w:type="dxa"/>
            <w:vAlign w:val="center"/>
          </w:tcPr>
          <w:p>
            <w:pPr>
              <w:widowControl/>
              <w:shd w:val="clear"/>
              <w:spacing w:line="40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724,195,532</w:t>
            </w:r>
          </w:p>
        </w:tc>
        <w:tc>
          <w:tcPr>
            <w:tcW w:w="1134" w:type="dxa"/>
            <w:vAlign w:val="center"/>
          </w:tcPr>
          <w:p>
            <w:pPr>
              <w:widowControl/>
              <w:shd w:val="clear"/>
              <w:spacing w:line="40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93.47</w:t>
            </w:r>
          </w:p>
        </w:tc>
        <w:tc>
          <w:tcPr>
            <w:tcW w:w="1559" w:type="dxa"/>
            <w:vAlign w:val="center"/>
          </w:tcPr>
          <w:p>
            <w:pPr>
              <w:shd w:val="clear"/>
              <w:spacing w:line="400" w:lineRule="exact"/>
              <w:ind w:firstLine="0" w:firstLineChars="0"/>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709,195,532</w:t>
            </w:r>
          </w:p>
        </w:tc>
        <w:tc>
          <w:tcPr>
            <w:tcW w:w="1253" w:type="dxa"/>
            <w:vAlign w:val="center"/>
          </w:tcPr>
          <w:p>
            <w:pPr>
              <w:shd w:val="clear"/>
              <w:spacing w:line="40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Align w:val="center"/>
          </w:tcPr>
          <w:p>
            <w:pPr>
              <w:shd w:val="clear"/>
              <w:spacing w:line="400" w:lineRule="exact"/>
              <w:ind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三、总股本</w:t>
            </w:r>
          </w:p>
        </w:tc>
        <w:tc>
          <w:tcPr>
            <w:tcW w:w="1701" w:type="dxa"/>
            <w:vAlign w:val="center"/>
          </w:tcPr>
          <w:p>
            <w:pPr>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774,756,002</w:t>
            </w:r>
          </w:p>
        </w:tc>
        <w:tc>
          <w:tcPr>
            <w:tcW w:w="1134" w:type="dxa"/>
            <w:vAlign w:val="center"/>
          </w:tcPr>
          <w:p>
            <w:pPr>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100</w:t>
            </w:r>
          </w:p>
        </w:tc>
        <w:tc>
          <w:tcPr>
            <w:tcW w:w="1559" w:type="dxa"/>
            <w:vAlign w:val="center"/>
          </w:tcPr>
          <w:p>
            <w:pPr>
              <w:shd w:val="clear"/>
              <w:spacing w:line="400" w:lineRule="exact"/>
              <w:ind w:firstLine="0" w:firstLineChars="0"/>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759,756,002</w:t>
            </w:r>
          </w:p>
        </w:tc>
        <w:tc>
          <w:tcPr>
            <w:tcW w:w="1253" w:type="dxa"/>
            <w:vAlign w:val="center"/>
          </w:tcPr>
          <w:p>
            <w:pPr>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100</w:t>
            </w:r>
          </w:p>
        </w:tc>
      </w:tr>
    </w:tbl>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2、若按本次回购金额上限人民币</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亿元，回购股份价格不超过人民币</w:t>
      </w:r>
      <w:r>
        <w:rPr>
          <w:rFonts w:hint="eastAsia" w:ascii="宋体" w:hAnsi="宋体" w:eastAsia="宋体" w:cs="宋体"/>
          <w:sz w:val="24"/>
          <w:szCs w:val="24"/>
          <w:highlight w:val="none"/>
          <w:lang w:val="en-US" w:eastAsia="zh-CN"/>
        </w:rPr>
        <w:t>10.00</w:t>
      </w:r>
      <w:r>
        <w:rPr>
          <w:rFonts w:hint="eastAsia" w:ascii="宋体" w:hAnsi="宋体" w:eastAsia="宋体" w:cs="宋体"/>
          <w:sz w:val="24"/>
          <w:szCs w:val="24"/>
          <w:highlight w:val="none"/>
        </w:rPr>
        <w:t>元/股测算，预计回购数量约为</w:t>
      </w:r>
      <w:r>
        <w:rPr>
          <w:rFonts w:hint="eastAsia" w:ascii="宋体" w:hAnsi="宋体" w:eastAsia="宋体" w:cs="宋体"/>
          <w:sz w:val="24"/>
          <w:szCs w:val="24"/>
          <w:highlight w:val="none"/>
          <w:lang w:val="en-US" w:eastAsia="zh-CN"/>
        </w:rPr>
        <w:t>3,000</w:t>
      </w:r>
      <w:r>
        <w:rPr>
          <w:rFonts w:hint="eastAsia" w:ascii="宋体" w:hAnsi="宋体" w:eastAsia="宋体" w:cs="宋体"/>
          <w:sz w:val="24"/>
          <w:szCs w:val="24"/>
          <w:highlight w:val="none"/>
        </w:rPr>
        <w:t>万股，占目前公司总股本的</w:t>
      </w:r>
      <w:r>
        <w:rPr>
          <w:rFonts w:hint="eastAsia" w:ascii="宋体" w:hAnsi="宋体" w:eastAsia="宋体" w:cs="宋体"/>
          <w:sz w:val="24"/>
          <w:szCs w:val="24"/>
          <w:highlight w:val="none"/>
          <w:lang w:val="en-US" w:eastAsia="zh-CN"/>
        </w:rPr>
        <w:t>3.87</w:t>
      </w:r>
      <w:r>
        <w:rPr>
          <w:rFonts w:hint="eastAsia" w:ascii="宋体" w:hAnsi="宋体" w:eastAsia="宋体" w:cs="宋体"/>
          <w:sz w:val="24"/>
          <w:szCs w:val="24"/>
          <w:highlight w:val="none"/>
        </w:rPr>
        <w:t>%。按照截至</w:t>
      </w:r>
      <w:r>
        <w:rPr>
          <w:rFonts w:hint="eastAsia" w:ascii="宋体" w:hAnsi="宋体" w:eastAsia="宋体" w:cs="宋体"/>
          <w:sz w:val="24"/>
          <w:szCs w:val="24"/>
          <w:highlight w:val="none"/>
          <w:lang w:val="en-US" w:eastAsia="zh-CN"/>
        </w:rPr>
        <w:t>2020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日公司股本结构测算，若回购股份全部用于</w:t>
      </w:r>
      <w:r>
        <w:rPr>
          <w:rFonts w:hint="eastAsia" w:ascii="宋体" w:hAnsi="宋体"/>
          <w:bCs/>
          <w:sz w:val="24"/>
          <w:highlight w:val="none"/>
        </w:rPr>
        <w:t>注销并减少注册资本</w:t>
      </w:r>
      <w:r>
        <w:rPr>
          <w:rFonts w:hint="eastAsia" w:ascii="宋体" w:hAnsi="宋体" w:eastAsia="宋体" w:cs="宋体"/>
          <w:sz w:val="24"/>
          <w:szCs w:val="24"/>
          <w:highlight w:val="none"/>
        </w:rPr>
        <w:t>，预计回购</w:t>
      </w:r>
      <w:r>
        <w:rPr>
          <w:rFonts w:hint="eastAsia" w:ascii="宋体" w:hAnsi="宋体" w:eastAsia="宋体" w:cs="宋体"/>
          <w:sz w:val="24"/>
          <w:szCs w:val="24"/>
          <w:highlight w:val="none"/>
          <w:lang w:val="en-US" w:eastAsia="zh-CN"/>
        </w:rPr>
        <w:t>注销</w:t>
      </w:r>
      <w:r>
        <w:rPr>
          <w:rFonts w:hint="eastAsia" w:ascii="宋体" w:hAnsi="宋体" w:eastAsia="宋体" w:cs="宋体"/>
          <w:sz w:val="24"/>
          <w:szCs w:val="24"/>
          <w:highlight w:val="none"/>
        </w:rPr>
        <w:t>后公司股权结构变化情况如下：</w:t>
      </w:r>
    </w:p>
    <w:p>
      <w:pPr>
        <w:shd w:val="clear"/>
        <w:spacing w:line="400" w:lineRule="exact"/>
        <w:ind w:firstLine="480"/>
        <w:jc w:val="right"/>
        <w:rPr>
          <w:rFonts w:hint="eastAsia" w:ascii="宋体" w:hAnsi="宋体" w:eastAsia="宋体" w:cs="宋体"/>
          <w:sz w:val="24"/>
          <w:szCs w:val="24"/>
          <w:highlight w:val="none"/>
        </w:rPr>
      </w:pPr>
    </w:p>
    <w:p>
      <w:pPr>
        <w:shd w:val="clear"/>
        <w:spacing w:line="400" w:lineRule="exact"/>
        <w:ind w:firstLine="480"/>
        <w:jc w:val="right"/>
        <w:rPr>
          <w:rFonts w:ascii="宋体" w:hAnsi="宋体" w:eastAsia="宋体" w:cs="宋体"/>
          <w:sz w:val="24"/>
          <w:szCs w:val="24"/>
          <w:highlight w:val="none"/>
        </w:rPr>
      </w:pPr>
      <w:r>
        <w:rPr>
          <w:rFonts w:hint="eastAsia" w:ascii="宋体" w:hAnsi="宋体" w:eastAsia="宋体" w:cs="宋体"/>
          <w:sz w:val="24"/>
          <w:szCs w:val="24"/>
          <w:highlight w:val="none"/>
        </w:rPr>
        <w:t>单位：股</w:t>
      </w:r>
    </w:p>
    <w:tbl>
      <w:tblPr>
        <w:tblStyle w:val="4"/>
        <w:tblW w:w="920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3"/>
        <w:gridCol w:w="1701"/>
        <w:gridCol w:w="1134"/>
        <w:gridCol w:w="155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restart"/>
            <w:vAlign w:val="center"/>
          </w:tcPr>
          <w:p>
            <w:pPr>
              <w:shd w:val="clear"/>
              <w:spacing w:line="400" w:lineRule="exact"/>
              <w:ind w:firstLineChars="0"/>
              <w:jc w:val="center"/>
              <w:rPr>
                <w:rFonts w:ascii="宋体" w:hAnsi="宋体" w:eastAsia="宋体" w:cs="宋体"/>
                <w:sz w:val="24"/>
                <w:szCs w:val="24"/>
                <w:highlight w:val="none"/>
              </w:rPr>
            </w:pPr>
          </w:p>
        </w:tc>
        <w:tc>
          <w:tcPr>
            <w:tcW w:w="2835" w:type="dxa"/>
            <w:gridSpan w:val="2"/>
            <w:vAlign w:val="center"/>
          </w:tcPr>
          <w:p>
            <w:pPr>
              <w:shd w:val="clear"/>
              <w:spacing w:line="400" w:lineRule="exact"/>
              <w:ind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本次变动前</w:t>
            </w:r>
          </w:p>
        </w:tc>
        <w:tc>
          <w:tcPr>
            <w:tcW w:w="2800" w:type="dxa"/>
            <w:gridSpan w:val="2"/>
            <w:vAlign w:val="center"/>
          </w:tcPr>
          <w:p>
            <w:pPr>
              <w:shd w:val="clear"/>
              <w:spacing w:line="400" w:lineRule="exact"/>
              <w:ind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Merge w:val="continue"/>
            <w:vAlign w:val="center"/>
          </w:tcPr>
          <w:p>
            <w:pPr>
              <w:shd w:val="clear"/>
              <w:spacing w:line="400" w:lineRule="exact"/>
              <w:ind w:firstLineChars="0"/>
              <w:jc w:val="center"/>
              <w:rPr>
                <w:rFonts w:ascii="宋体" w:hAnsi="宋体" w:eastAsia="宋体" w:cs="宋体"/>
                <w:sz w:val="24"/>
                <w:szCs w:val="24"/>
                <w:highlight w:val="none"/>
              </w:rPr>
            </w:pPr>
          </w:p>
        </w:tc>
        <w:tc>
          <w:tcPr>
            <w:tcW w:w="1701" w:type="dxa"/>
            <w:vAlign w:val="center"/>
          </w:tcPr>
          <w:p>
            <w:pPr>
              <w:shd w:val="clear"/>
              <w:spacing w:line="400" w:lineRule="exact"/>
              <w:ind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1134" w:type="dxa"/>
            <w:vAlign w:val="center"/>
          </w:tcPr>
          <w:p>
            <w:pPr>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比例（%）</w:t>
            </w:r>
          </w:p>
        </w:tc>
        <w:tc>
          <w:tcPr>
            <w:tcW w:w="1559" w:type="dxa"/>
            <w:vAlign w:val="center"/>
          </w:tcPr>
          <w:p>
            <w:pPr>
              <w:shd w:val="clear"/>
              <w:spacing w:line="400" w:lineRule="exact"/>
              <w:ind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1241" w:type="dxa"/>
            <w:vAlign w:val="center"/>
          </w:tcPr>
          <w:p>
            <w:pPr>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shd w:val="clear"/>
              <w:spacing w:line="400" w:lineRule="exact"/>
              <w:ind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一、限售条件流通股/非流通股</w:t>
            </w:r>
          </w:p>
        </w:tc>
        <w:tc>
          <w:tcPr>
            <w:tcW w:w="1701" w:type="dxa"/>
            <w:vAlign w:val="center"/>
          </w:tcPr>
          <w:p>
            <w:pPr>
              <w:widowControl/>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50,560,470</w:t>
            </w:r>
          </w:p>
        </w:tc>
        <w:tc>
          <w:tcPr>
            <w:tcW w:w="1134" w:type="dxa"/>
            <w:vAlign w:val="center"/>
          </w:tcPr>
          <w:p>
            <w:pPr>
              <w:widowControl/>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6.53</w:t>
            </w:r>
          </w:p>
        </w:tc>
        <w:tc>
          <w:tcPr>
            <w:tcW w:w="1559" w:type="dxa"/>
            <w:vAlign w:val="center"/>
          </w:tcPr>
          <w:p>
            <w:pPr>
              <w:shd w:val="clear"/>
              <w:spacing w:line="400" w:lineRule="exact"/>
              <w:ind w:firstLine="0" w:firstLineChars="0"/>
              <w:jc w:val="righ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50,560,470</w:t>
            </w:r>
          </w:p>
        </w:tc>
        <w:tc>
          <w:tcPr>
            <w:tcW w:w="1241" w:type="dxa"/>
            <w:vAlign w:val="center"/>
          </w:tcPr>
          <w:p>
            <w:pPr>
              <w:shd w:val="clear"/>
              <w:spacing w:line="40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shd w:val="clear"/>
              <w:spacing w:line="400" w:lineRule="exact"/>
              <w:ind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二、无限售条件流通股</w:t>
            </w:r>
          </w:p>
        </w:tc>
        <w:tc>
          <w:tcPr>
            <w:tcW w:w="1701" w:type="dxa"/>
            <w:vAlign w:val="center"/>
          </w:tcPr>
          <w:p>
            <w:pPr>
              <w:widowControl/>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724,195,532</w:t>
            </w:r>
          </w:p>
        </w:tc>
        <w:tc>
          <w:tcPr>
            <w:tcW w:w="1134" w:type="dxa"/>
            <w:vAlign w:val="center"/>
          </w:tcPr>
          <w:p>
            <w:pPr>
              <w:widowControl/>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93.47</w:t>
            </w:r>
          </w:p>
        </w:tc>
        <w:tc>
          <w:tcPr>
            <w:tcW w:w="1559" w:type="dxa"/>
            <w:vAlign w:val="center"/>
          </w:tcPr>
          <w:p>
            <w:pPr>
              <w:shd w:val="clear"/>
              <w:spacing w:line="400" w:lineRule="exact"/>
              <w:ind w:firstLine="0" w:firstLineChars="0"/>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694,195,532</w:t>
            </w:r>
          </w:p>
        </w:tc>
        <w:tc>
          <w:tcPr>
            <w:tcW w:w="1241" w:type="dxa"/>
            <w:vAlign w:val="center"/>
          </w:tcPr>
          <w:p>
            <w:pPr>
              <w:shd w:val="clear"/>
              <w:spacing w:line="40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vAlign w:val="center"/>
          </w:tcPr>
          <w:p>
            <w:pPr>
              <w:shd w:val="clear"/>
              <w:spacing w:line="400" w:lineRule="exact"/>
              <w:ind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三、总股本</w:t>
            </w:r>
          </w:p>
        </w:tc>
        <w:tc>
          <w:tcPr>
            <w:tcW w:w="1701" w:type="dxa"/>
            <w:vAlign w:val="center"/>
          </w:tcPr>
          <w:p>
            <w:pPr>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774,756,002</w:t>
            </w:r>
          </w:p>
        </w:tc>
        <w:tc>
          <w:tcPr>
            <w:tcW w:w="1134" w:type="dxa"/>
            <w:vAlign w:val="center"/>
          </w:tcPr>
          <w:p>
            <w:pPr>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100</w:t>
            </w:r>
          </w:p>
        </w:tc>
        <w:tc>
          <w:tcPr>
            <w:tcW w:w="1559" w:type="dxa"/>
            <w:vAlign w:val="center"/>
          </w:tcPr>
          <w:p>
            <w:pPr>
              <w:shd w:val="clear"/>
              <w:spacing w:line="400" w:lineRule="exact"/>
              <w:ind w:firstLine="0" w:firstLineChars="0"/>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744,756,002</w:t>
            </w:r>
          </w:p>
        </w:tc>
        <w:tc>
          <w:tcPr>
            <w:tcW w:w="1241" w:type="dxa"/>
            <w:vAlign w:val="center"/>
          </w:tcPr>
          <w:p>
            <w:pPr>
              <w:shd w:val="clea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100</w:t>
            </w:r>
          </w:p>
        </w:tc>
      </w:tr>
    </w:tbl>
    <w:p>
      <w:pPr>
        <w:shd w:val="clear"/>
        <w:spacing w:beforeLines="30" w:line="400" w:lineRule="exact"/>
        <w:ind w:firstLine="482"/>
        <w:rPr>
          <w:rFonts w:hint="eastAsia" w:ascii="宋体" w:hAnsi="宋体" w:eastAsia="宋体" w:cs="宋体"/>
          <w:sz w:val="24"/>
          <w:szCs w:val="24"/>
          <w:highlight w:val="none"/>
          <w:lang w:val="en-US" w:eastAsia="zh-CN"/>
        </w:rPr>
      </w:pPr>
      <w:r>
        <w:rPr>
          <w:rFonts w:hint="eastAsia" w:ascii="宋体" w:hAnsi="宋体"/>
          <w:b/>
          <w:sz w:val="24"/>
          <w:highlight w:val="none"/>
        </w:rPr>
        <w:t>（</w:t>
      </w:r>
      <w:r>
        <w:rPr>
          <w:rFonts w:hint="eastAsia" w:ascii="宋体" w:hAnsi="宋体"/>
          <w:b/>
          <w:sz w:val="24"/>
          <w:highlight w:val="none"/>
          <w:lang w:eastAsia="zh-CN"/>
        </w:rPr>
        <w:t>九</w:t>
      </w:r>
      <w:r>
        <w:rPr>
          <w:rFonts w:hint="eastAsia" w:ascii="宋体" w:hAnsi="宋体"/>
          <w:b/>
          <w:sz w:val="24"/>
          <w:highlight w:val="none"/>
        </w:rPr>
        <w:t>）管理层关于本次回购股份对公司经营、盈利能力、财务、研发、债务履行能</w:t>
      </w:r>
      <w:r>
        <w:rPr>
          <w:rFonts w:hint="eastAsia" w:ascii="宋体" w:hAnsi="宋体" w:eastAsia="宋体" w:cs="宋体"/>
          <w:b/>
          <w:bCs/>
          <w:sz w:val="24"/>
          <w:szCs w:val="24"/>
          <w:highlight w:val="none"/>
        </w:rPr>
        <w:t>力、未来发展影响和维持上市地位等情况的分析</w:t>
      </w:r>
      <w:r>
        <w:rPr>
          <w:rFonts w:hint="eastAsia" w:ascii="宋体" w:hAnsi="宋体" w:eastAsia="宋体" w:cs="宋体"/>
          <w:b/>
          <w:bCs/>
          <w:sz w:val="24"/>
          <w:szCs w:val="24"/>
          <w:highlight w:val="none"/>
          <w:lang w:eastAsia="zh-CN"/>
        </w:rPr>
        <w:t>。</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若本次回购金额上限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亿元全部使用完毕，以公司</w:t>
      </w:r>
      <w:r>
        <w:rPr>
          <w:rFonts w:hint="eastAsia" w:ascii="宋体" w:hAnsi="宋体" w:eastAsia="宋体" w:cs="宋体"/>
          <w:sz w:val="24"/>
          <w:szCs w:val="24"/>
          <w:highlight w:val="none"/>
          <w:lang w:val="en-US" w:eastAsia="zh-CN"/>
        </w:rPr>
        <w:t>2020</w:t>
      </w:r>
      <w:r>
        <w:rPr>
          <w:rFonts w:hint="eastAsia" w:ascii="宋体" w:hAnsi="宋体" w:eastAsia="宋体" w:cs="宋体"/>
          <w:sz w:val="24"/>
          <w:szCs w:val="24"/>
          <w:highlight w:val="none"/>
        </w:rPr>
        <w:t>年9月30日财务数据测算，回购股份金额占公司总资产、占属于上市公司股东的净资产、流动资产的比例分别为</w:t>
      </w:r>
      <w:r>
        <w:rPr>
          <w:rFonts w:hint="eastAsia" w:ascii="宋体" w:hAnsi="宋体" w:eastAsia="宋体" w:cs="宋体"/>
          <w:sz w:val="24"/>
          <w:szCs w:val="24"/>
          <w:highlight w:val="none"/>
          <w:lang w:val="en-US" w:eastAsia="zh-CN"/>
        </w:rPr>
        <w:t>6.08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9.79</w:t>
      </w:r>
      <w:r>
        <w:rPr>
          <w:rFonts w:hint="eastAsia" w:ascii="宋体" w:hAnsi="宋体" w:eastAsia="宋体" w:cs="宋体"/>
          <w:sz w:val="24"/>
          <w:szCs w:val="24"/>
          <w:highlight w:val="none"/>
        </w:rPr>
        <w:t>%。根据公司经营、财务及未来发展情况，公司认为以人民币</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亿元上限金额回购股份，不会对公司的经营、财务和未来发展产生重大影响,不会改变公司的上市公司地位。</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如前所述，若按照回购数量约</w:t>
      </w:r>
      <w:r>
        <w:rPr>
          <w:rFonts w:hint="eastAsia" w:ascii="宋体" w:hAnsi="宋体" w:eastAsia="宋体" w:cs="宋体"/>
          <w:sz w:val="24"/>
          <w:szCs w:val="24"/>
          <w:highlight w:val="none"/>
          <w:lang w:val="en-US" w:eastAsia="zh-CN"/>
        </w:rPr>
        <w:t>3,000</w:t>
      </w:r>
      <w:r>
        <w:rPr>
          <w:rFonts w:hint="eastAsia" w:ascii="宋体" w:hAnsi="宋体" w:eastAsia="宋体" w:cs="宋体"/>
          <w:sz w:val="24"/>
          <w:szCs w:val="24"/>
          <w:highlight w:val="none"/>
        </w:rPr>
        <w:t>万股测算，回购后不会导致公司控制权发生变化，也不会改变公司的上市公司地位，股权分布情况仍然符合上市条件。</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color w:val="000000"/>
          <w:sz w:val="24"/>
          <w:szCs w:val="24"/>
          <w:highlight w:val="none"/>
        </w:rPr>
        <w:t>公司全体董事承诺，本次回购股份不会损害上市公司的债务履行能力和持续经营能力。</w:t>
      </w:r>
      <w:r>
        <w:rPr>
          <w:rFonts w:ascii="宋体" w:hAnsi="宋体" w:eastAsia="宋体" w:cs="宋体"/>
          <w:sz w:val="24"/>
          <w:szCs w:val="24"/>
          <w:highlight w:val="none"/>
        </w:rPr>
        <w:t xml:space="preserve"> </w:t>
      </w:r>
    </w:p>
    <w:p>
      <w:pPr>
        <w:shd w:val="clear"/>
        <w:spacing w:beforeLines="30" w:line="400" w:lineRule="exact"/>
        <w:ind w:firstLine="482"/>
        <w:rPr>
          <w:rFonts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十</w:t>
      </w:r>
      <w:r>
        <w:rPr>
          <w:rFonts w:hint="eastAsia" w:ascii="宋体" w:hAnsi="宋体" w:eastAsia="宋体" w:cs="宋体"/>
          <w:b/>
          <w:bCs/>
          <w:sz w:val="24"/>
          <w:szCs w:val="24"/>
          <w:highlight w:val="none"/>
        </w:rPr>
        <w:t>）上市公司控股股东、合计持股5%以上的股东及其一致行动人、董事、监事、高级管理人员在董事会做出回购股份决议前6个月内买卖本公司股份情况及说明，是否存在单独或者与他人联合进行内幕交易及操纵市场行为的说明，以及在回购期间的增减持计划；持股5%以上股东未来六个月的减持计划（如适用）。</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上市公司控股股东、合计持股5%以上的股东及其一致行动人、董事、监事、高级管理人员在董事会作出回购股份决议前6个月不存在买卖本公司股份的行为,不存在单独或者与他人联合进行内幕交易及市场操纵的行为；以及在回购期间未有增减持计划；持股5%以上股东未来六个月不存在减持计划。</w:t>
      </w:r>
    </w:p>
    <w:p>
      <w:pPr>
        <w:shd w:val="clear"/>
        <w:spacing w:beforeLines="30" w:line="400" w:lineRule="exact"/>
        <w:ind w:firstLine="482"/>
        <w:rPr>
          <w:rFonts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）回购股份后依法注销的相关安排以及防范侵害债权人利益的相关安排</w:t>
      </w:r>
    </w:p>
    <w:p>
      <w:pPr>
        <w:shd w:val="clear"/>
        <w:spacing w:line="4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本次公司回购部分社会公众股份将全部予以注销减少注册资本，公司将依照《公司法》相关规定就注销股份减少注册资本事宜通知债权人。</w:t>
      </w:r>
    </w:p>
    <w:p>
      <w:pPr>
        <w:numPr>
          <w:ilvl w:val="0"/>
          <w:numId w:val="5"/>
        </w:numPr>
        <w:spacing w:line="440" w:lineRule="exact"/>
        <w:ind w:firstLine="422" w:firstLineChars="175"/>
        <w:rPr>
          <w:rFonts w:ascii="宋体" w:hAnsi="宋体" w:eastAsia="宋体" w:cs="宋体"/>
          <w:b/>
          <w:bCs/>
          <w:color w:val="000000"/>
          <w:sz w:val="24"/>
          <w:szCs w:val="24"/>
        </w:rPr>
      </w:pPr>
      <w:r>
        <w:rPr>
          <w:rFonts w:hint="eastAsia" w:ascii="宋体" w:hAnsi="宋体" w:eastAsia="宋体" w:cs="宋体"/>
          <w:b/>
          <w:bCs/>
          <w:color w:val="000000"/>
          <w:sz w:val="24"/>
          <w:szCs w:val="24"/>
        </w:rPr>
        <w:t>回购股份的审议程序及</w:t>
      </w:r>
      <w:r>
        <w:rPr>
          <w:rFonts w:hint="eastAsia" w:ascii="宋体" w:hAnsi="宋体" w:eastAsia="宋体" w:cs="宋体"/>
          <w:b/>
          <w:bCs/>
          <w:color w:val="000000"/>
          <w:sz w:val="24"/>
          <w:szCs w:val="24"/>
          <w:lang w:eastAsia="zh-CN"/>
        </w:rPr>
        <w:t>实施情况</w:t>
      </w:r>
    </w:p>
    <w:p>
      <w:pPr>
        <w:numPr>
          <w:ilvl w:val="0"/>
          <w:numId w:val="6"/>
        </w:numPr>
        <w:spacing w:line="44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本次回购事项已经公司第</w:t>
      </w:r>
      <w:r>
        <w:rPr>
          <w:rFonts w:hint="eastAsia" w:ascii="宋体" w:hAnsi="宋体" w:eastAsia="宋体" w:cs="宋体"/>
          <w:sz w:val="24"/>
          <w:szCs w:val="24"/>
          <w:lang w:eastAsia="zh-CN"/>
        </w:rPr>
        <w:t>七</w:t>
      </w:r>
      <w:r>
        <w:rPr>
          <w:rFonts w:hint="eastAsia" w:ascii="宋体" w:hAnsi="宋体" w:eastAsia="宋体" w:cs="宋体"/>
          <w:sz w:val="24"/>
          <w:szCs w:val="24"/>
        </w:rPr>
        <w:t>届董事会第</w:t>
      </w:r>
      <w:r>
        <w:rPr>
          <w:rFonts w:hint="eastAsia" w:ascii="宋体" w:hAnsi="宋体" w:eastAsia="宋体" w:cs="宋体"/>
          <w:sz w:val="24"/>
          <w:szCs w:val="24"/>
          <w:lang w:eastAsia="zh-CN"/>
        </w:rPr>
        <w:t>六</w:t>
      </w:r>
      <w:r>
        <w:rPr>
          <w:rFonts w:hint="eastAsia" w:ascii="宋体" w:hAnsi="宋体" w:eastAsia="宋体" w:cs="宋体"/>
          <w:sz w:val="24"/>
          <w:szCs w:val="24"/>
        </w:rPr>
        <w:t>次会议审议通过。</w:t>
      </w:r>
    </w:p>
    <w:p>
      <w:pPr>
        <w:numPr>
          <w:ilvl w:val="0"/>
          <w:numId w:val="6"/>
        </w:numPr>
        <w:spacing w:line="440" w:lineRule="exact"/>
        <w:ind w:left="420" w:leftChars="200" w:firstLine="0" w:firstLineChars="0"/>
        <w:rPr>
          <w:rFonts w:ascii="宋体" w:hAnsi="宋体"/>
          <w:bCs/>
          <w:sz w:val="24"/>
        </w:rPr>
      </w:pPr>
      <w:r>
        <w:rPr>
          <w:rFonts w:hint="eastAsia" w:ascii="宋体" w:hAnsi="宋体" w:eastAsia="宋体" w:cs="宋体"/>
          <w:sz w:val="24"/>
          <w:szCs w:val="24"/>
        </w:rPr>
        <w:t>本次回购事项已经公司</w:t>
      </w:r>
      <w:r>
        <w:rPr>
          <w:rFonts w:hint="eastAsia" w:ascii="宋体" w:hAnsi="宋体" w:eastAsia="宋体" w:cs="宋体"/>
          <w:sz w:val="24"/>
          <w:szCs w:val="24"/>
          <w:lang w:val="en-US" w:eastAsia="zh-CN"/>
        </w:rPr>
        <w:t>2021</w:t>
      </w:r>
      <w:r>
        <w:rPr>
          <w:rFonts w:hint="eastAsia" w:ascii="宋体" w:hAnsi="宋体" w:eastAsia="宋体" w:cs="宋体"/>
          <w:sz w:val="24"/>
          <w:szCs w:val="24"/>
        </w:rPr>
        <w:t>年第</w:t>
      </w:r>
      <w:r>
        <w:rPr>
          <w:rFonts w:hint="eastAsia" w:ascii="宋体" w:hAnsi="宋体" w:eastAsia="宋体" w:cs="宋体"/>
          <w:sz w:val="24"/>
          <w:szCs w:val="24"/>
          <w:lang w:eastAsia="zh-CN"/>
        </w:rPr>
        <w:t>一</w:t>
      </w:r>
      <w:r>
        <w:rPr>
          <w:rFonts w:hint="eastAsia" w:ascii="宋体" w:hAnsi="宋体" w:eastAsia="宋体" w:cs="宋体"/>
          <w:sz w:val="24"/>
          <w:szCs w:val="24"/>
        </w:rPr>
        <w:t>次临时股东大会特别决议通过。</w:t>
      </w:r>
    </w:p>
    <w:p>
      <w:pPr>
        <w:numPr>
          <w:ilvl w:val="0"/>
          <w:numId w:val="0"/>
        </w:numPr>
        <w:spacing w:line="440" w:lineRule="exact"/>
        <w:ind w:leftChars="200"/>
        <w:rPr>
          <w:rFonts w:ascii="宋体" w:hAnsi="宋体"/>
          <w:bCs/>
          <w:sz w:val="24"/>
        </w:rPr>
      </w:pPr>
      <w:r>
        <w:rPr>
          <w:rFonts w:hint="eastAsia" w:ascii="宋体" w:hAnsi="宋体" w:eastAsia="宋体" w:cs="宋体"/>
          <w:b/>
          <w:bCs/>
          <w:color w:val="000000"/>
          <w:sz w:val="24"/>
          <w:szCs w:val="24"/>
        </w:rPr>
        <w:t>三、</w:t>
      </w:r>
      <w:r>
        <w:rPr>
          <w:rFonts w:hint="eastAsia" w:ascii="宋体" w:hAnsi="宋体" w:eastAsia="宋体" w:cs="宋体"/>
          <w:b/>
          <w:bCs/>
          <w:color w:val="000000"/>
          <w:sz w:val="24"/>
          <w:szCs w:val="24"/>
          <w:lang w:eastAsia="zh-CN"/>
        </w:rPr>
        <w:t>通知债权人以及</w:t>
      </w:r>
      <w:r>
        <w:rPr>
          <w:rFonts w:hint="eastAsia" w:ascii="宋体" w:hAnsi="宋体" w:eastAsia="宋体" w:cs="宋体"/>
          <w:b/>
          <w:bCs/>
          <w:color w:val="000000"/>
          <w:sz w:val="24"/>
          <w:szCs w:val="24"/>
        </w:rPr>
        <w:t>股份回购专户的开立情况</w:t>
      </w:r>
      <w:r>
        <w:rPr>
          <w:rFonts w:ascii="宋体" w:hAnsi="宋体" w:eastAsia="宋体" w:cs="宋体"/>
          <w:sz w:val="24"/>
          <w:szCs w:val="24"/>
        </w:rPr>
        <w:t xml:space="preserve"> </w:t>
      </w:r>
    </w:p>
    <w:p>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通知债权人情况</w:t>
      </w:r>
    </w:p>
    <w:p>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本次回购的股份将全部用于注销，公司注册资本将相应减少，公司已依照《公司法》相关规定通知债权人。详见与本公告同日披露并刊载于刊登于中国证券报、证券时报、巨潮资讯网的《</w:t>
      </w:r>
      <w:r>
        <w:rPr>
          <w:rFonts w:hint="eastAsia" w:ascii="宋体" w:hAnsi="宋体" w:cs="宋体"/>
          <w:b w:val="0"/>
          <w:bCs w:val="0"/>
          <w:color w:val="auto"/>
          <w:sz w:val="24"/>
          <w:szCs w:val="24"/>
          <w:lang w:eastAsia="zh-CN"/>
        </w:rPr>
        <w:t>兔宝</w:t>
      </w:r>
      <w:r>
        <w:rPr>
          <w:rFonts w:hint="eastAsia" w:ascii="宋体" w:hAnsi="宋体" w:cs="宋体"/>
          <w:b w:val="0"/>
          <w:bCs w:val="0"/>
          <w:color w:val="auto"/>
          <w:sz w:val="24"/>
          <w:szCs w:val="24"/>
          <w:lang w:val="en-US" w:eastAsia="zh-CN"/>
        </w:rPr>
        <w:t>宝：关于回购股份的债权人通知公告</w:t>
      </w:r>
      <w:r>
        <w:rPr>
          <w:rFonts w:hint="eastAsia" w:ascii="宋体" w:hAnsi="宋体" w:eastAsia="宋体" w:cs="宋体"/>
          <w:color w:val="000000"/>
          <w:sz w:val="24"/>
          <w:szCs w:val="24"/>
        </w:rPr>
        <w:t>》</w:t>
      </w:r>
    </w:p>
    <w:p>
      <w:pPr>
        <w:spacing w:line="44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回购账户开立情况</w:t>
      </w:r>
    </w:p>
    <w:p>
      <w:pPr>
        <w:spacing w:line="440" w:lineRule="exact"/>
        <w:ind w:firstLine="480"/>
        <w:rPr>
          <w:rFonts w:ascii="宋体" w:hAnsi="宋体" w:eastAsia="宋体" w:cs="宋体"/>
          <w:sz w:val="24"/>
          <w:szCs w:val="24"/>
        </w:rPr>
      </w:pPr>
      <w:r>
        <w:rPr>
          <w:rFonts w:hint="eastAsia" w:ascii="宋体" w:hAnsi="宋体" w:eastAsia="宋体" w:cs="宋体"/>
          <w:color w:val="000000"/>
          <w:sz w:val="24"/>
          <w:szCs w:val="24"/>
        </w:rPr>
        <w:t>根据相关规定，公司已在中国证券登记结算有限责任公司深圳分公司开立了股份回购专用账户，该专用账户仅可用于回购公司股份。</w:t>
      </w:r>
      <w:r>
        <w:rPr>
          <w:rFonts w:ascii="宋体" w:hAnsi="宋体" w:eastAsia="宋体" w:cs="宋体"/>
          <w:sz w:val="24"/>
          <w:szCs w:val="24"/>
        </w:rPr>
        <w:t xml:space="preserve"> </w:t>
      </w:r>
    </w:p>
    <w:p>
      <w:pPr>
        <w:numPr>
          <w:ilvl w:val="0"/>
          <w:numId w:val="7"/>
        </w:numPr>
        <w:spacing w:line="440" w:lineRule="exact"/>
        <w:ind w:left="420" w:leftChars="200"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回购期间的信息披露安排</w:t>
      </w:r>
    </w:p>
    <w:p>
      <w:p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根据相关法律法规和规范性文件的规定，公司将在实施回购期间及时履行信息披露义务并将在定期报告中披露回购进展情况：</w:t>
      </w:r>
    </w:p>
    <w:p>
      <w:pPr>
        <w:numPr>
          <w:ilvl w:val="0"/>
          <w:numId w:val="8"/>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公司将在首次回购股份事实发生的次日予以披露；</w:t>
      </w:r>
    </w:p>
    <w:p>
      <w:pPr>
        <w:numPr>
          <w:ilvl w:val="0"/>
          <w:numId w:val="8"/>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公司回购股份占公司总股份的比例每增加1%，将在该事实发生之日起三日内予以披露；</w:t>
      </w:r>
    </w:p>
    <w:p>
      <w:pPr>
        <w:numPr>
          <w:ilvl w:val="0"/>
          <w:numId w:val="8"/>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每个月的前三个交易日内披露截至上月末的回购进展情况；</w:t>
      </w:r>
    </w:p>
    <w:p>
      <w:pPr>
        <w:numPr>
          <w:ilvl w:val="0"/>
          <w:numId w:val="8"/>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公司如在回购股份方案规定的回购实施期限过半时仍未实施回购，董事会将公告未能实施回购的原因和后续回购安排；</w:t>
      </w:r>
    </w:p>
    <w:p>
      <w:pPr>
        <w:numPr>
          <w:ilvl w:val="0"/>
          <w:numId w:val="8"/>
        </w:numPr>
        <w:spacing w:line="44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回购期限届满或者回购股份已实施完毕的，公司将停止回购行为，并在两个交易日内披露回购结果暨股份变动公告。本次回购股份实施完成后，公司将已回购股份转让给员工持股计划或用于股权激励授予员工，或者对已回购股份予以注销的，公司将按照相关规定履行审批程序及信息披露义务。</w:t>
      </w:r>
    </w:p>
    <w:p>
      <w:pPr>
        <w:numPr>
          <w:ilvl w:val="0"/>
          <w:numId w:val="7"/>
        </w:numPr>
        <w:spacing w:line="440" w:lineRule="exact"/>
        <w:ind w:left="420" w:leftChars="200"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回购股份的风险提示</w:t>
      </w:r>
    </w:p>
    <w:p>
      <w:pPr>
        <w:numPr>
          <w:ilvl w:val="0"/>
          <w:numId w:val="9"/>
        </w:numPr>
        <w:spacing w:line="440" w:lineRule="exact"/>
        <w:ind w:left="0" w:leftChars="0" w:firstLine="480" w:firstLineChars="200"/>
        <w:rPr>
          <w:rFonts w:hint="eastAsia" w:ascii="宋体" w:hAnsi="宋体"/>
          <w:bCs/>
          <w:sz w:val="24"/>
        </w:rPr>
      </w:pPr>
      <w:r>
        <w:rPr>
          <w:rFonts w:hint="eastAsia" w:ascii="宋体" w:hAnsi="宋体"/>
          <w:bCs/>
          <w:sz w:val="24"/>
        </w:rPr>
        <w:t>若回购期限内公司股票价格持续超出回购方案披露的回购价格上限，则本次回购方案存在无法实施的风险。</w:t>
      </w:r>
    </w:p>
    <w:p>
      <w:pPr>
        <w:numPr>
          <w:ilvl w:val="0"/>
          <w:numId w:val="9"/>
        </w:numPr>
        <w:spacing w:line="440" w:lineRule="exact"/>
        <w:ind w:left="0" w:leftChars="0" w:firstLine="480" w:firstLineChars="200"/>
        <w:rPr>
          <w:rFonts w:hint="eastAsia" w:ascii="宋体" w:hAnsi="宋体"/>
          <w:bCs/>
          <w:sz w:val="24"/>
        </w:rPr>
      </w:pPr>
      <w:r>
        <w:rPr>
          <w:rFonts w:hint="eastAsia" w:ascii="宋体" w:hAnsi="宋体"/>
          <w:bCs/>
          <w:sz w:val="24"/>
        </w:rPr>
        <w:t>本次回购方案不代表公司将在二级市场回购公司股份的承诺，公司将在回购期限内根据市场情况择机实施股份回购并根据进展情况及时履行信息披露义务。</w:t>
      </w:r>
    </w:p>
    <w:p>
      <w:pPr>
        <w:spacing w:line="440" w:lineRule="exact"/>
        <w:ind w:firstLine="480"/>
        <w:rPr>
          <w:rFonts w:ascii="宋体" w:hAnsi="宋体" w:eastAsia="宋体" w:cs="宋体"/>
          <w:b/>
          <w:bCs/>
          <w:color w:val="000000"/>
          <w:sz w:val="24"/>
          <w:szCs w:val="24"/>
        </w:rPr>
      </w:pPr>
      <w:r>
        <w:rPr>
          <w:rFonts w:hint="eastAsia" w:ascii="宋体" w:hAnsi="宋体"/>
          <w:bCs/>
          <w:sz w:val="24"/>
        </w:rPr>
        <w:t>敬请投资者注意投资风险。</w:t>
      </w:r>
    </w:p>
    <w:p>
      <w:pPr>
        <w:numPr>
          <w:ilvl w:val="0"/>
          <w:numId w:val="7"/>
        </w:numPr>
        <w:spacing w:line="440" w:lineRule="exact"/>
        <w:ind w:left="420" w:leftChars="200"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备查文件</w:t>
      </w:r>
    </w:p>
    <w:p>
      <w:pPr>
        <w:numPr>
          <w:ilvl w:val="0"/>
          <w:numId w:val="10"/>
        </w:numPr>
        <w:shd w:val="clear"/>
        <w:spacing w:line="4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兔宝宝：第</w:t>
      </w:r>
      <w:r>
        <w:rPr>
          <w:rFonts w:hint="eastAsia" w:ascii="宋体" w:hAnsi="宋体" w:eastAsia="宋体" w:cs="宋体"/>
          <w:color w:val="000000"/>
          <w:sz w:val="24"/>
          <w:szCs w:val="24"/>
          <w:highlight w:val="none"/>
          <w:lang w:eastAsia="zh-CN"/>
        </w:rPr>
        <w:t>七</w:t>
      </w:r>
      <w:r>
        <w:rPr>
          <w:rFonts w:hint="eastAsia" w:ascii="宋体" w:hAnsi="宋体" w:eastAsia="宋体" w:cs="宋体"/>
          <w:color w:val="000000"/>
          <w:sz w:val="24"/>
          <w:szCs w:val="24"/>
          <w:highlight w:val="none"/>
        </w:rPr>
        <w:t>届第</w:t>
      </w:r>
      <w:r>
        <w:rPr>
          <w:rFonts w:hint="eastAsia" w:ascii="宋体" w:hAnsi="宋体" w:eastAsia="宋体" w:cs="宋体"/>
          <w:color w:val="000000"/>
          <w:sz w:val="24"/>
          <w:szCs w:val="24"/>
          <w:highlight w:val="none"/>
          <w:lang w:eastAsia="zh-CN"/>
        </w:rPr>
        <w:t>六</w:t>
      </w:r>
      <w:r>
        <w:rPr>
          <w:rFonts w:hint="eastAsia" w:ascii="宋体" w:hAnsi="宋体" w:eastAsia="宋体" w:cs="宋体"/>
          <w:color w:val="000000"/>
          <w:sz w:val="24"/>
          <w:szCs w:val="24"/>
          <w:highlight w:val="none"/>
        </w:rPr>
        <w:t>次董事会决议；</w:t>
      </w:r>
    </w:p>
    <w:p>
      <w:pPr>
        <w:numPr>
          <w:ilvl w:val="0"/>
          <w:numId w:val="10"/>
        </w:numPr>
        <w:shd w:val="clear"/>
        <w:spacing w:line="400" w:lineRule="exact"/>
        <w:ind w:firstLine="480"/>
        <w:rPr>
          <w:rFonts w:ascii="宋体" w:hAnsi="宋体" w:eastAsia="宋体" w:cs="宋体"/>
          <w:sz w:val="24"/>
          <w:szCs w:val="24"/>
        </w:rPr>
      </w:pPr>
      <w:r>
        <w:rPr>
          <w:rFonts w:hint="eastAsia" w:ascii="宋体" w:hAnsi="宋体" w:eastAsia="宋体" w:cs="宋体"/>
          <w:sz w:val="24"/>
          <w:szCs w:val="24"/>
          <w:lang w:eastAsia="zh-CN"/>
        </w:rPr>
        <w:t>兔宝宝：</w:t>
      </w:r>
      <w:r>
        <w:rPr>
          <w:rFonts w:hint="eastAsia" w:ascii="宋体" w:hAnsi="宋体" w:eastAsia="宋体" w:cs="宋体"/>
          <w:color w:val="000000"/>
          <w:sz w:val="24"/>
          <w:szCs w:val="24"/>
          <w:highlight w:val="none"/>
        </w:rPr>
        <w:t>独立董</w:t>
      </w:r>
      <w:r>
        <w:rPr>
          <w:rFonts w:hint="eastAsia" w:ascii="宋体" w:hAnsi="宋体" w:eastAsia="宋体" w:cs="宋体"/>
          <w:color w:val="000000"/>
          <w:sz w:val="24"/>
          <w:szCs w:val="24"/>
          <w:highlight w:val="none"/>
          <w:lang w:eastAsia="zh-CN"/>
        </w:rPr>
        <w:t>事</w:t>
      </w:r>
      <w:r>
        <w:rPr>
          <w:rFonts w:hint="eastAsia" w:ascii="宋体" w:hAnsi="宋体" w:eastAsia="宋体" w:cs="宋体"/>
          <w:color w:val="000000"/>
          <w:sz w:val="24"/>
          <w:szCs w:val="24"/>
          <w:highlight w:val="none"/>
        </w:rPr>
        <w:t>关于回购公司股份方案的独立意见</w:t>
      </w:r>
      <w:r>
        <w:rPr>
          <w:rFonts w:hint="eastAsia" w:ascii="宋体" w:hAnsi="宋体" w:eastAsia="宋体" w:cs="宋体"/>
          <w:color w:val="000000"/>
          <w:sz w:val="24"/>
          <w:szCs w:val="24"/>
          <w:highlight w:val="none"/>
          <w:lang w:eastAsia="zh-CN"/>
        </w:rPr>
        <w:t>；</w:t>
      </w:r>
    </w:p>
    <w:p>
      <w:pPr>
        <w:numPr>
          <w:ilvl w:val="0"/>
          <w:numId w:val="10"/>
        </w:numPr>
        <w:shd w:val="clear"/>
        <w:spacing w:line="400" w:lineRule="exact"/>
        <w:ind w:firstLine="480"/>
        <w:rPr>
          <w:rFonts w:ascii="宋体" w:hAnsi="宋体" w:eastAsia="宋体" w:cs="宋体"/>
          <w:sz w:val="24"/>
          <w:szCs w:val="24"/>
        </w:rPr>
      </w:pPr>
      <w:r>
        <w:rPr>
          <w:rFonts w:hint="eastAsia" w:ascii="宋体" w:hAnsi="宋体" w:eastAsia="宋体" w:cs="宋体"/>
          <w:sz w:val="24"/>
          <w:szCs w:val="24"/>
          <w:lang w:eastAsia="zh-CN"/>
        </w:rPr>
        <w:t>兔宝宝：</w:t>
      </w:r>
      <w:r>
        <w:rPr>
          <w:rFonts w:hint="eastAsia" w:ascii="宋体" w:hAnsi="宋体" w:eastAsia="宋体" w:cs="宋体"/>
          <w:sz w:val="24"/>
          <w:szCs w:val="24"/>
          <w:lang w:val="en-US" w:eastAsia="zh-CN"/>
        </w:rPr>
        <w:t>2021年第一次临时股东大会决议。</w:t>
      </w:r>
    </w:p>
    <w:p>
      <w:pPr>
        <w:numPr>
          <w:ilvl w:val="0"/>
          <w:numId w:val="0"/>
        </w:numPr>
        <w:shd w:val="clear"/>
        <w:spacing w:line="400" w:lineRule="exact"/>
        <w:ind w:left="0" w:leftChars="0" w:firstLine="480" w:firstLineChars="200"/>
        <w:rPr>
          <w:rFonts w:ascii="宋体" w:hAnsi="宋体" w:eastAsia="宋体" w:cs="宋体"/>
          <w:sz w:val="24"/>
          <w:szCs w:val="24"/>
        </w:rPr>
      </w:pPr>
      <w:r>
        <w:rPr>
          <w:rFonts w:hint="eastAsia" w:ascii="宋体" w:hAnsi="宋体" w:eastAsia="宋体" w:cs="宋体"/>
          <w:sz w:val="24"/>
          <w:szCs w:val="24"/>
        </w:rPr>
        <w:t>特此公告。</w:t>
      </w:r>
    </w:p>
    <w:p>
      <w:pPr>
        <w:spacing w:line="440" w:lineRule="exact"/>
        <w:ind w:firstLine="480"/>
        <w:rPr>
          <w:rFonts w:ascii="宋体" w:hAnsi="宋体" w:eastAsia="宋体" w:cs="宋体"/>
          <w:sz w:val="24"/>
          <w:szCs w:val="24"/>
        </w:rPr>
      </w:pPr>
    </w:p>
    <w:p>
      <w:pPr>
        <w:spacing w:line="440" w:lineRule="exact"/>
        <w:ind w:firstLine="480"/>
        <w:jc w:val="right"/>
        <w:rPr>
          <w:rFonts w:ascii="宋体" w:hAnsi="宋体" w:eastAsia="宋体" w:cs="宋体"/>
          <w:sz w:val="24"/>
        </w:rPr>
      </w:pPr>
      <w:r>
        <w:rPr>
          <w:rFonts w:hint="eastAsia" w:ascii="宋体" w:hAnsi="宋体" w:eastAsia="宋体" w:cs="宋体"/>
          <w:sz w:val="24"/>
        </w:rPr>
        <w:t>德华兔宝宝装饰新材股份有限公司</w:t>
      </w:r>
    </w:p>
    <w:p>
      <w:pPr>
        <w:spacing w:line="440" w:lineRule="exact"/>
        <w:ind w:firstLine="6720" w:firstLineChars="2800"/>
        <w:rPr>
          <w:rFonts w:ascii="宋体" w:hAnsi="宋体" w:eastAsia="宋体" w:cs="宋体"/>
          <w:sz w:val="24"/>
        </w:rPr>
      </w:pPr>
      <w:r>
        <w:rPr>
          <w:rFonts w:hint="eastAsia" w:ascii="宋体" w:hAnsi="宋体" w:eastAsia="宋体" w:cs="宋体"/>
          <w:sz w:val="24"/>
        </w:rPr>
        <w:t>董 事 会</w:t>
      </w:r>
    </w:p>
    <w:p>
      <w:pPr>
        <w:spacing w:line="440" w:lineRule="exact"/>
        <w:ind w:firstLine="480"/>
        <w:jc w:val="center"/>
        <w:rPr>
          <w:rFonts w:ascii="宋体" w:hAnsi="宋体" w:eastAsia="宋体" w:cs="宋体"/>
          <w:sz w:val="24"/>
          <w:szCs w:val="24"/>
        </w:rPr>
      </w:pPr>
      <w:r>
        <w:rPr>
          <w:rFonts w:hint="eastAsia" w:ascii="宋体" w:hAnsi="宋体" w:eastAsia="宋体" w:cs="宋体"/>
          <w:sz w:val="24"/>
        </w:rPr>
        <w:t xml:space="preserve">                                          </w:t>
      </w:r>
      <w:r>
        <w:rPr>
          <w:rFonts w:hint="eastAsia" w:ascii="宋体" w:hAnsi="宋体" w:eastAsia="宋体" w:cs="宋体"/>
          <w:sz w:val="24"/>
          <w:lang w:val="en-US" w:eastAsia="zh-CN"/>
        </w:rPr>
        <w:t>2021</w:t>
      </w:r>
      <w:r>
        <w:rPr>
          <w:rFonts w:hint="eastAsia" w:ascii="宋体" w:hAnsi="宋体" w:eastAsia="宋体" w:cs="宋体"/>
          <w:sz w:val="24"/>
        </w:rPr>
        <w:t>年1月</w:t>
      </w:r>
      <w:r>
        <w:rPr>
          <w:rFonts w:hint="eastAsia" w:ascii="宋体" w:hAnsi="宋体" w:eastAsia="宋体" w:cs="宋体"/>
          <w:sz w:val="24"/>
          <w:lang w:val="en-US" w:eastAsia="zh-CN"/>
        </w:rPr>
        <w:t>11</w:t>
      </w:r>
      <w:bookmarkStart w:id="0" w:name="_GoBack"/>
      <w:bookmarkEnd w:id="0"/>
      <w:r>
        <w:rPr>
          <w:rFonts w:hint="eastAsia" w:ascii="宋体" w:hAnsi="宋体" w:eastAsia="宋体" w:cs="宋体"/>
          <w:sz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C4C0F"/>
    <w:multiLevelType w:val="singleLevel"/>
    <w:tmpl w:val="E57C4C0F"/>
    <w:lvl w:ilvl="0" w:tentative="0">
      <w:start w:val="1"/>
      <w:numFmt w:val="chineseCounting"/>
      <w:suff w:val="nothing"/>
      <w:lvlText w:val="%1、"/>
      <w:lvlJc w:val="left"/>
      <w:rPr>
        <w:rFonts w:hint="eastAsia"/>
      </w:rPr>
    </w:lvl>
  </w:abstractNum>
  <w:abstractNum w:abstractNumId="1">
    <w:nsid w:val="E607109A"/>
    <w:multiLevelType w:val="singleLevel"/>
    <w:tmpl w:val="E607109A"/>
    <w:lvl w:ilvl="0" w:tentative="0">
      <w:start w:val="1"/>
      <w:numFmt w:val="decimal"/>
      <w:suff w:val="nothing"/>
      <w:lvlText w:val="%1、"/>
      <w:lvlJc w:val="left"/>
    </w:lvl>
  </w:abstractNum>
  <w:abstractNum w:abstractNumId="2">
    <w:nsid w:val="09753C94"/>
    <w:multiLevelType w:val="singleLevel"/>
    <w:tmpl w:val="09753C94"/>
    <w:lvl w:ilvl="0" w:tentative="0">
      <w:start w:val="1"/>
      <w:numFmt w:val="decimal"/>
      <w:suff w:val="nothing"/>
      <w:lvlText w:val="%1、"/>
      <w:lvlJc w:val="left"/>
    </w:lvl>
  </w:abstractNum>
  <w:abstractNum w:abstractNumId="3">
    <w:nsid w:val="2FCAFE81"/>
    <w:multiLevelType w:val="singleLevel"/>
    <w:tmpl w:val="2FCAFE81"/>
    <w:lvl w:ilvl="0" w:tentative="0">
      <w:start w:val="1"/>
      <w:numFmt w:val="decimal"/>
      <w:suff w:val="nothing"/>
      <w:lvlText w:val="（%1）"/>
      <w:lvlJc w:val="left"/>
    </w:lvl>
  </w:abstractNum>
  <w:abstractNum w:abstractNumId="4">
    <w:nsid w:val="4D14A764"/>
    <w:multiLevelType w:val="singleLevel"/>
    <w:tmpl w:val="4D14A764"/>
    <w:lvl w:ilvl="0" w:tentative="0">
      <w:start w:val="1"/>
      <w:numFmt w:val="decimal"/>
      <w:suff w:val="nothing"/>
      <w:lvlText w:val="（%1）"/>
      <w:lvlJc w:val="left"/>
    </w:lvl>
  </w:abstractNum>
  <w:abstractNum w:abstractNumId="5">
    <w:nsid w:val="5DDB859F"/>
    <w:multiLevelType w:val="singleLevel"/>
    <w:tmpl w:val="5DDB859F"/>
    <w:lvl w:ilvl="0" w:tentative="0">
      <w:start w:val="1"/>
      <w:numFmt w:val="decimal"/>
      <w:suff w:val="nothing"/>
      <w:lvlText w:val="%1、"/>
      <w:lvlJc w:val="left"/>
    </w:lvl>
  </w:abstractNum>
  <w:abstractNum w:abstractNumId="6">
    <w:nsid w:val="5DDB89E0"/>
    <w:multiLevelType w:val="singleLevel"/>
    <w:tmpl w:val="5DDB89E0"/>
    <w:lvl w:ilvl="0" w:tentative="0">
      <w:start w:val="2"/>
      <w:numFmt w:val="chineseCounting"/>
      <w:suff w:val="nothing"/>
      <w:lvlText w:val="%1、"/>
      <w:lvlJc w:val="left"/>
    </w:lvl>
  </w:abstractNum>
  <w:abstractNum w:abstractNumId="7">
    <w:nsid w:val="5DDB8B0E"/>
    <w:multiLevelType w:val="singleLevel"/>
    <w:tmpl w:val="5DDB8B0E"/>
    <w:lvl w:ilvl="0" w:tentative="0">
      <w:start w:val="4"/>
      <w:numFmt w:val="chineseCounting"/>
      <w:suff w:val="nothing"/>
      <w:lvlText w:val="%1、"/>
      <w:lvlJc w:val="left"/>
    </w:lvl>
  </w:abstractNum>
  <w:abstractNum w:abstractNumId="8">
    <w:nsid w:val="5DDB8B33"/>
    <w:multiLevelType w:val="singleLevel"/>
    <w:tmpl w:val="5DDB8B33"/>
    <w:lvl w:ilvl="0" w:tentative="0">
      <w:start w:val="1"/>
      <w:numFmt w:val="decimal"/>
      <w:suff w:val="nothing"/>
      <w:lvlText w:val="%1、"/>
      <w:lvlJc w:val="left"/>
    </w:lvl>
  </w:abstractNum>
  <w:abstractNum w:abstractNumId="9">
    <w:nsid w:val="661B8366"/>
    <w:multiLevelType w:val="singleLevel"/>
    <w:tmpl w:val="661B8366"/>
    <w:lvl w:ilvl="0" w:tentative="0">
      <w:start w:val="1"/>
      <w:numFmt w:val="decimal"/>
      <w:suff w:val="nothing"/>
      <w:lvlText w:val="%1、"/>
      <w:lvlJc w:val="left"/>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C6E0842"/>
    <w:rsid w:val="00207920"/>
    <w:rsid w:val="003D0708"/>
    <w:rsid w:val="006266F3"/>
    <w:rsid w:val="00687506"/>
    <w:rsid w:val="006D7C7C"/>
    <w:rsid w:val="00A03703"/>
    <w:rsid w:val="00CF4A78"/>
    <w:rsid w:val="04706286"/>
    <w:rsid w:val="0562088D"/>
    <w:rsid w:val="0AED6F3B"/>
    <w:rsid w:val="127561DB"/>
    <w:rsid w:val="12BB3812"/>
    <w:rsid w:val="13C97107"/>
    <w:rsid w:val="17852561"/>
    <w:rsid w:val="1D5B2254"/>
    <w:rsid w:val="26F00639"/>
    <w:rsid w:val="274E79FD"/>
    <w:rsid w:val="289E75FB"/>
    <w:rsid w:val="2F2F0832"/>
    <w:rsid w:val="33A9423F"/>
    <w:rsid w:val="36722E29"/>
    <w:rsid w:val="38621304"/>
    <w:rsid w:val="386875D0"/>
    <w:rsid w:val="3C6E0842"/>
    <w:rsid w:val="3C7D00E2"/>
    <w:rsid w:val="3DD1659E"/>
    <w:rsid w:val="3E3C7429"/>
    <w:rsid w:val="3F8A696F"/>
    <w:rsid w:val="3FD14619"/>
    <w:rsid w:val="3FD43490"/>
    <w:rsid w:val="40446AAC"/>
    <w:rsid w:val="415B402B"/>
    <w:rsid w:val="41FC2824"/>
    <w:rsid w:val="449F051D"/>
    <w:rsid w:val="46F755B0"/>
    <w:rsid w:val="47EB3FCD"/>
    <w:rsid w:val="4DDC1D5B"/>
    <w:rsid w:val="56F47ADE"/>
    <w:rsid w:val="5742643D"/>
    <w:rsid w:val="581C173F"/>
    <w:rsid w:val="5B1335C6"/>
    <w:rsid w:val="5BD93B47"/>
    <w:rsid w:val="5FDD0492"/>
    <w:rsid w:val="60553452"/>
    <w:rsid w:val="61C51EC6"/>
    <w:rsid w:val="64085775"/>
    <w:rsid w:val="641B0866"/>
    <w:rsid w:val="6483761E"/>
    <w:rsid w:val="64F53602"/>
    <w:rsid w:val="651F2D0E"/>
    <w:rsid w:val="666B4F5F"/>
    <w:rsid w:val="671C19BD"/>
    <w:rsid w:val="6811604B"/>
    <w:rsid w:val="68AC5C36"/>
    <w:rsid w:val="6CD37524"/>
    <w:rsid w:val="6E113AAB"/>
    <w:rsid w:val="6FDB034D"/>
    <w:rsid w:val="73C86DCD"/>
    <w:rsid w:val="742F6009"/>
    <w:rsid w:val="76B75065"/>
    <w:rsid w:val="772E21D3"/>
    <w:rsid w:val="779A760A"/>
    <w:rsid w:val="7CB031D0"/>
    <w:rsid w:val="7D29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da"/>
    <w:basedOn w:val="5"/>
    <w:qFormat/>
    <w:uiPriority w:val="0"/>
  </w:style>
  <w:style w:type="character" w:customStyle="1" w:styleId="7">
    <w:name w:val="fontstyle01"/>
    <w:basedOn w:val="5"/>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748</Words>
  <Characters>4269</Characters>
  <Lines>35</Lines>
  <Paragraphs>10</Paragraphs>
  <TotalTime>8</TotalTime>
  <ScaleCrop>false</ScaleCrop>
  <LinksUpToDate>false</LinksUpToDate>
  <CharactersWithSpaces>5007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2018-03-08T01:11:00Z</dcterms:created>
  <dc:creator>白首、不相离</dc:creator>
  <cp:lastModifiedBy>啥啥</cp:lastModifiedBy>
  <dcterms:modified xsi:type="dcterms:W3CDTF">2021-01-08T02:06:20Z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