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Lines="50" w:line="300" w:lineRule="exact"/>
        <w:rPr>
          <w:rFonts w:ascii="宋体" w:hAnsi="宋体"/>
          <w:sz w:val="24"/>
        </w:rPr>
      </w:pPr>
      <w:r>
        <w:rPr>
          <w:rFonts w:hint="eastAsia" w:ascii="宋体" w:hAnsi="宋体"/>
          <w:sz w:val="24"/>
        </w:rPr>
        <w:t xml:space="preserve">证券代码：002043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bookmarkStart w:id="0" w:name="_GoBack"/>
      <w:bookmarkEnd w:id="0"/>
      <w:r>
        <w:rPr>
          <w:rFonts w:hint="eastAsia" w:ascii="宋体" w:hAnsi="宋体"/>
          <w:sz w:val="24"/>
        </w:rPr>
        <w:t xml:space="preserve">证券简称：兔宝宝        </w:t>
      </w:r>
      <w:r>
        <w:rPr>
          <w:rFonts w:hint="eastAsia" w:ascii="宋体" w:hAnsi="宋体"/>
          <w:sz w:val="24"/>
          <w:lang w:val="en-US" w:eastAsia="zh-CN"/>
        </w:rPr>
        <w:t xml:space="preserve">    </w:t>
      </w:r>
      <w:r>
        <w:rPr>
          <w:rFonts w:hint="eastAsia" w:ascii="宋体" w:hAnsi="宋体"/>
          <w:sz w:val="24"/>
        </w:rPr>
        <w:t xml:space="preserve"> 公告编号：2020-057</w:t>
      </w:r>
    </w:p>
    <w:p>
      <w:pPr>
        <w:jc w:val="center"/>
        <w:rPr>
          <w:b/>
          <w:sz w:val="30"/>
          <w:szCs w:val="30"/>
        </w:rPr>
      </w:pPr>
      <w:r>
        <w:rPr>
          <w:rFonts w:hint="eastAsia"/>
          <w:b/>
          <w:sz w:val="30"/>
          <w:szCs w:val="30"/>
        </w:rPr>
        <w:t>德华兔宝宝装饰新材股份有限公司</w:t>
      </w:r>
    </w:p>
    <w:p>
      <w:pPr>
        <w:spacing w:line="420" w:lineRule="exact"/>
        <w:jc w:val="center"/>
        <w:rPr>
          <w:b/>
          <w:sz w:val="30"/>
          <w:szCs w:val="30"/>
        </w:rPr>
      </w:pPr>
      <w:r>
        <w:rPr>
          <w:rFonts w:hint="eastAsia"/>
          <w:b/>
          <w:sz w:val="30"/>
          <w:szCs w:val="30"/>
        </w:rPr>
        <w:t>关于第一期员工持股计划非交易过户完成的公告</w:t>
      </w:r>
    </w:p>
    <w:p>
      <w:pPr>
        <w:spacing w:line="240" w:lineRule="exact"/>
        <w:jc w:val="center"/>
        <w:rPr>
          <w:rFonts w:cs="宋体"/>
          <w:sz w:val="18"/>
          <w:szCs w:val="18"/>
        </w:rPr>
      </w:pPr>
    </w:p>
    <w:p>
      <w:pPr>
        <w:spacing w:line="360" w:lineRule="auto"/>
        <w:ind w:firstLine="480" w:firstLineChars="200"/>
        <w:rPr>
          <w:rFonts w:cs="宋体"/>
          <w:sz w:val="24"/>
        </w:rPr>
      </w:pPr>
      <w:r>
        <w:rPr>
          <w:rFonts w:hint="eastAsia" w:cs="宋体"/>
          <w:sz w:val="24"/>
        </w:rPr>
        <w:t>本公司及董事会全体成员保证信息披露内容的真实、准确和完整，没有虚假记载、误导性陈述或重大遗漏。</w:t>
      </w:r>
    </w:p>
    <w:p>
      <w:pPr>
        <w:spacing w:line="240" w:lineRule="exact"/>
        <w:ind w:firstLine="360" w:firstLineChars="200"/>
        <w:rPr>
          <w:rFonts w:cs="宋体"/>
          <w:sz w:val="18"/>
          <w:szCs w:val="18"/>
        </w:rPr>
      </w:pPr>
    </w:p>
    <w:p>
      <w:pPr>
        <w:spacing w:line="360" w:lineRule="auto"/>
        <w:ind w:firstLine="480" w:firstLineChars="200"/>
        <w:rPr>
          <w:rFonts w:ascii="宋体" w:hAnsi="宋体"/>
          <w:color w:val="000000"/>
          <w:kern w:val="0"/>
          <w:sz w:val="24"/>
        </w:rPr>
      </w:pPr>
      <w:r>
        <w:rPr>
          <w:rFonts w:hint="eastAsia" w:ascii="宋体" w:hAnsi="宋体" w:eastAsia="宋体" w:cs="宋体"/>
          <w:sz w:val="24"/>
        </w:rPr>
        <w:t>德华兔宝宝装饰新材股份有限公司（以下简称“公司”）</w:t>
      </w:r>
      <w:r>
        <w:rPr>
          <w:rFonts w:hint="eastAsia" w:ascii="宋体" w:hAnsi="宋体"/>
          <w:color w:val="000000"/>
          <w:kern w:val="0"/>
          <w:sz w:val="24"/>
        </w:rPr>
        <w:t>于2020年9月30日召开第七届董事会第四次会议、第七届监事会第三次会议，于2020年10月26日召开2020年第二次临时股东大会，审议通过了《</w:t>
      </w:r>
      <w:r>
        <w:rPr>
          <w:rFonts w:hint="eastAsia" w:ascii="宋体" w:hAnsi="宋体" w:cs="宋体"/>
          <w:kern w:val="0"/>
          <w:sz w:val="24"/>
        </w:rPr>
        <w:t>关于&lt;兔宝宝第一期员工持股计划（草案）&gt;及摘要的议案</w:t>
      </w:r>
      <w:r>
        <w:rPr>
          <w:rFonts w:hint="eastAsia" w:ascii="宋体" w:hAnsi="宋体"/>
          <w:color w:val="000000"/>
          <w:kern w:val="0"/>
          <w:sz w:val="24"/>
        </w:rPr>
        <w:t>》及员工持股计划相关议案。具体内容详见公司于</w:t>
      </w:r>
      <w:r>
        <w:rPr>
          <w:rFonts w:ascii="宋体" w:hAnsi="宋体"/>
          <w:color w:val="000000"/>
          <w:kern w:val="0"/>
          <w:sz w:val="24"/>
        </w:rPr>
        <w:t>2020年</w:t>
      </w:r>
      <w:r>
        <w:rPr>
          <w:rFonts w:hint="eastAsia" w:ascii="宋体" w:hAnsi="宋体"/>
          <w:color w:val="000000"/>
          <w:kern w:val="0"/>
          <w:sz w:val="24"/>
        </w:rPr>
        <w:t>10</w:t>
      </w:r>
      <w:r>
        <w:rPr>
          <w:rFonts w:ascii="宋体" w:hAnsi="宋体"/>
          <w:color w:val="000000"/>
          <w:kern w:val="0"/>
          <w:sz w:val="24"/>
        </w:rPr>
        <w:t>月</w:t>
      </w:r>
      <w:r>
        <w:rPr>
          <w:rFonts w:hint="eastAsia" w:ascii="宋体" w:hAnsi="宋体"/>
          <w:color w:val="000000"/>
          <w:kern w:val="0"/>
          <w:sz w:val="24"/>
        </w:rPr>
        <w:t>9</w:t>
      </w:r>
      <w:r>
        <w:rPr>
          <w:rFonts w:ascii="宋体" w:hAnsi="宋体"/>
          <w:color w:val="000000"/>
          <w:kern w:val="0"/>
          <w:sz w:val="24"/>
        </w:rPr>
        <w:t>日、2020年10月</w:t>
      </w:r>
      <w:r>
        <w:rPr>
          <w:rFonts w:hint="eastAsia" w:ascii="宋体" w:hAnsi="宋体"/>
          <w:color w:val="000000"/>
          <w:kern w:val="0"/>
          <w:sz w:val="24"/>
        </w:rPr>
        <w:t>27</w:t>
      </w:r>
      <w:r>
        <w:rPr>
          <w:rFonts w:ascii="宋体" w:hAnsi="宋体"/>
          <w:color w:val="000000"/>
          <w:kern w:val="0"/>
          <w:sz w:val="24"/>
        </w:rPr>
        <w:t>日在指定信息披露报纸《证券时报》、《中国证券报》和巨潮资讯网（http://www.cninfo.com.cn）上披露的相关内容。</w:t>
      </w:r>
    </w:p>
    <w:p>
      <w:pPr>
        <w:spacing w:line="360" w:lineRule="auto"/>
        <w:ind w:firstLine="480" w:firstLineChars="200"/>
        <w:rPr>
          <w:rFonts w:ascii="宋体" w:hAnsi="宋体"/>
          <w:color w:val="000000"/>
          <w:kern w:val="0"/>
          <w:sz w:val="24"/>
        </w:rPr>
      </w:pPr>
      <w:r>
        <w:rPr>
          <w:rFonts w:ascii="宋体" w:hAnsi="宋体"/>
          <w:color w:val="000000"/>
          <w:kern w:val="0"/>
          <w:sz w:val="24"/>
        </w:rPr>
        <w:t>根据中国证监会《关于上市公司实施员工持股计划试点的指导意见》及《深圳证券交易所上市公司信息披露指引第4号——员工持股计划》等相关规定，现将公司第</w:t>
      </w:r>
      <w:r>
        <w:rPr>
          <w:rFonts w:hint="eastAsia" w:ascii="宋体" w:hAnsi="宋体"/>
          <w:color w:val="000000"/>
          <w:kern w:val="0"/>
          <w:sz w:val="24"/>
        </w:rPr>
        <w:t>一</w:t>
      </w:r>
      <w:r>
        <w:rPr>
          <w:rFonts w:ascii="宋体" w:hAnsi="宋体"/>
          <w:color w:val="000000"/>
          <w:kern w:val="0"/>
          <w:sz w:val="24"/>
        </w:rPr>
        <w:t>期员工持股计划实施进展情况公告如下：</w:t>
      </w:r>
    </w:p>
    <w:p>
      <w:pPr>
        <w:numPr>
          <w:ilvl w:val="0"/>
          <w:numId w:val="1"/>
        </w:numPr>
        <w:spacing w:line="360" w:lineRule="auto"/>
        <w:ind w:firstLine="482" w:firstLineChars="200"/>
        <w:rPr>
          <w:rFonts w:ascii="宋体" w:hAnsi="宋体"/>
          <w:b/>
          <w:bCs/>
          <w:color w:val="000000"/>
          <w:kern w:val="0"/>
          <w:sz w:val="24"/>
        </w:rPr>
      </w:pPr>
      <w:r>
        <w:rPr>
          <w:rFonts w:ascii="宋体" w:hAnsi="宋体"/>
          <w:b/>
          <w:bCs/>
          <w:color w:val="000000"/>
          <w:kern w:val="0"/>
          <w:sz w:val="24"/>
        </w:rPr>
        <w:t>本期员工持股计划的股票来源及规模</w:t>
      </w:r>
    </w:p>
    <w:p>
      <w:pPr>
        <w:spacing w:line="360" w:lineRule="auto"/>
        <w:ind w:firstLine="480" w:firstLineChars="200"/>
        <w:rPr>
          <w:rFonts w:ascii="宋体" w:hAnsi="宋体"/>
          <w:color w:val="000000"/>
          <w:kern w:val="0"/>
          <w:sz w:val="24"/>
        </w:rPr>
      </w:pPr>
      <w:r>
        <w:rPr>
          <w:rFonts w:ascii="宋体" w:hAnsi="宋体"/>
          <w:color w:val="000000"/>
          <w:kern w:val="0"/>
          <w:sz w:val="24"/>
        </w:rPr>
        <w:t>1、本员工持股计划的股票来源</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本员工持股计划股票来源为公司回购专用账户中的兔宝宝A股普通股股票。</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20</w:t>
      </w:r>
      <w:r>
        <w:rPr>
          <w:rFonts w:ascii="宋体" w:hAnsi="宋体"/>
          <w:color w:val="000000"/>
          <w:kern w:val="0"/>
          <w:sz w:val="24"/>
        </w:rPr>
        <w:t>20</w:t>
      </w:r>
      <w:r>
        <w:rPr>
          <w:rFonts w:hint="eastAsia" w:ascii="宋体" w:hAnsi="宋体"/>
          <w:color w:val="000000"/>
          <w:kern w:val="0"/>
          <w:sz w:val="24"/>
        </w:rPr>
        <w:t>年</w:t>
      </w:r>
      <w:r>
        <w:rPr>
          <w:rFonts w:ascii="宋体" w:hAnsi="宋体"/>
          <w:color w:val="000000"/>
          <w:kern w:val="0"/>
          <w:sz w:val="24"/>
        </w:rPr>
        <w:t>1</w:t>
      </w:r>
      <w:r>
        <w:rPr>
          <w:rFonts w:hint="eastAsia" w:ascii="宋体" w:hAnsi="宋体"/>
          <w:color w:val="000000"/>
          <w:kern w:val="0"/>
          <w:sz w:val="24"/>
        </w:rPr>
        <w:t>月6日，公司召开了第六届董事会第二十七次会议，审议通过了《关于回购公司股份方案的议案》，同意公司使用自有资金以集中竞价交易方式回购公司部分社会公众股份，回购总金额不低于人民币1亿元（含）且不超过人民币2亿元（含），回购价格不超过人民币</w:t>
      </w:r>
      <w:r>
        <w:rPr>
          <w:rFonts w:ascii="宋体" w:hAnsi="宋体"/>
          <w:color w:val="000000"/>
          <w:kern w:val="0"/>
          <w:sz w:val="24"/>
        </w:rPr>
        <w:t>8.50</w:t>
      </w:r>
      <w:r>
        <w:rPr>
          <w:rFonts w:hint="eastAsia" w:ascii="宋体" w:hAnsi="宋体"/>
          <w:color w:val="000000"/>
          <w:kern w:val="0"/>
          <w:sz w:val="24"/>
        </w:rPr>
        <w:t>元/股（含），回购的股份用于实施股权激励或员工持股计划，回购股份的实施期限为自董事会审议通过之日起12个月内。</w:t>
      </w:r>
    </w:p>
    <w:p>
      <w:pPr>
        <w:spacing w:line="360" w:lineRule="auto"/>
        <w:ind w:firstLine="480" w:firstLineChars="200"/>
        <w:rPr>
          <w:rFonts w:cs="Cambria" w:asciiTheme="minorEastAsia" w:hAnsiTheme="minorEastAsia"/>
          <w:spacing w:val="-10"/>
          <w:sz w:val="24"/>
          <w:szCs w:val="24"/>
        </w:rPr>
      </w:pPr>
      <w:r>
        <w:rPr>
          <w:rFonts w:hint="eastAsia" w:ascii="宋体" w:hAnsi="宋体"/>
          <w:color w:val="000000"/>
          <w:kern w:val="0"/>
          <w:sz w:val="24"/>
        </w:rPr>
        <w:t>截至2020年</w:t>
      </w:r>
      <w:r>
        <w:rPr>
          <w:rFonts w:ascii="宋体" w:hAnsi="宋体"/>
          <w:color w:val="000000"/>
          <w:kern w:val="0"/>
          <w:sz w:val="24"/>
        </w:rPr>
        <w:t>3</w:t>
      </w:r>
      <w:r>
        <w:rPr>
          <w:rFonts w:hint="eastAsia" w:ascii="宋体" w:hAnsi="宋体"/>
          <w:color w:val="000000"/>
          <w:kern w:val="0"/>
          <w:sz w:val="24"/>
        </w:rPr>
        <w:t>月</w:t>
      </w:r>
      <w:r>
        <w:rPr>
          <w:rFonts w:ascii="宋体" w:hAnsi="宋体"/>
          <w:color w:val="000000"/>
          <w:kern w:val="0"/>
          <w:sz w:val="24"/>
        </w:rPr>
        <w:t>9</w:t>
      </w:r>
      <w:r>
        <w:rPr>
          <w:rFonts w:hint="eastAsia" w:ascii="宋体" w:hAnsi="宋体"/>
          <w:color w:val="000000"/>
          <w:kern w:val="0"/>
          <w:sz w:val="24"/>
        </w:rPr>
        <w:t>日，公司累计通过回购专用证券账户以集中竞价交易方式回购股份数量为26,671,393股，占公司目前总股本的3.44%，最高成交价为8.11元/股，最低成交价为6.70元/股，支付的总金额为人民币199,999,947.01元(含交易费用），公司本次回购公司股份已经实施完毕。回购的实施符合公司回购股份既定方案及相关法律法规的要求。</w:t>
      </w:r>
    </w:p>
    <w:p>
      <w:pPr>
        <w:numPr>
          <w:ilvl w:val="0"/>
          <w:numId w:val="2"/>
        </w:numPr>
        <w:spacing w:line="360" w:lineRule="auto"/>
        <w:ind w:firstLine="480" w:firstLineChars="200"/>
        <w:rPr>
          <w:rFonts w:ascii="宋体" w:hAnsi="宋体"/>
          <w:color w:val="000000"/>
          <w:kern w:val="0"/>
          <w:sz w:val="24"/>
        </w:rPr>
      </w:pPr>
      <w:r>
        <w:rPr>
          <w:rFonts w:ascii="宋体" w:hAnsi="宋体"/>
          <w:color w:val="000000"/>
          <w:kern w:val="0"/>
          <w:sz w:val="24"/>
        </w:rPr>
        <w:t>本员工持股计划涉及的标的股票规模</w:t>
      </w:r>
    </w:p>
    <w:p>
      <w:pPr>
        <w:spacing w:line="360" w:lineRule="auto"/>
        <w:ind w:firstLine="480" w:firstLineChars="200"/>
        <w:rPr>
          <w:rFonts w:hint="eastAsia" w:ascii="宋体" w:hAnsi="宋体" w:eastAsia="宋体" w:cs="宋体"/>
          <w:sz w:val="24"/>
        </w:rPr>
      </w:pPr>
      <w:r>
        <w:rPr>
          <w:rFonts w:hint="eastAsia" w:cs="Times New Roman" w:asciiTheme="minorEastAsia" w:hAnsiTheme="minorEastAsia"/>
          <w:sz w:val="24"/>
        </w:rPr>
        <w:t>本次涉及受让股票数量为</w:t>
      </w:r>
      <w:r>
        <w:rPr>
          <w:rFonts w:cs="Times New Roman" w:asciiTheme="minorEastAsia" w:hAnsiTheme="minorEastAsia"/>
          <w:sz w:val="24"/>
        </w:rPr>
        <w:t>15,494,000股，约占公司现有股本总额的2.00%</w:t>
      </w:r>
      <w:r>
        <w:rPr>
          <w:rFonts w:hint="eastAsia" w:cs="Times New Roman" w:asciiTheme="minorEastAsia" w:hAnsiTheme="minorEastAsia"/>
          <w:sz w:val="24"/>
        </w:rPr>
        <w:t>。</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p>
    <w:p>
      <w:pPr>
        <w:spacing w:line="360" w:lineRule="auto"/>
        <w:ind w:firstLine="482" w:firstLineChars="200"/>
        <w:rPr>
          <w:rFonts w:ascii="宋体" w:hAnsi="宋体" w:eastAsia="宋体" w:cs="宋体"/>
          <w:sz w:val="24"/>
        </w:rPr>
      </w:pPr>
      <w:r>
        <w:rPr>
          <w:rFonts w:ascii="宋体" w:hAnsi="宋体"/>
          <w:b/>
          <w:bCs/>
          <w:color w:val="000000"/>
          <w:kern w:val="0"/>
          <w:sz w:val="24"/>
        </w:rPr>
        <w:t>二、本期员工持股计划的股份过户情况</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2020年</w:t>
      </w:r>
      <w:r>
        <w:rPr>
          <w:rFonts w:hint="eastAsia" w:cs="Times New Roman" w:asciiTheme="minorEastAsia" w:hAnsiTheme="minorEastAsia"/>
          <w:sz w:val="24"/>
        </w:rPr>
        <w:t>11</w:t>
      </w:r>
      <w:r>
        <w:rPr>
          <w:rFonts w:cs="Times New Roman" w:asciiTheme="minorEastAsia" w:hAnsiTheme="minorEastAsia"/>
          <w:sz w:val="24"/>
        </w:rPr>
        <w:t>月</w:t>
      </w:r>
      <w:r>
        <w:rPr>
          <w:rFonts w:hint="eastAsia" w:cs="Times New Roman" w:asciiTheme="minorEastAsia" w:hAnsiTheme="minorEastAsia"/>
          <w:sz w:val="24"/>
        </w:rPr>
        <w:t>20</w:t>
      </w:r>
      <w:r>
        <w:rPr>
          <w:rFonts w:cs="Times New Roman" w:asciiTheme="minorEastAsia" w:hAnsiTheme="minorEastAsia"/>
          <w:sz w:val="24"/>
        </w:rPr>
        <w:t>日，公司收到中国证券登记结算有限责任公司深圳分公司出具的《证券过户登记确认书》，公司开立的“</w:t>
      </w:r>
      <w:r>
        <w:rPr>
          <w:rFonts w:hint="eastAsia" w:ascii="宋体" w:hAnsi="宋体" w:eastAsia="宋体" w:cs="宋体"/>
          <w:sz w:val="24"/>
        </w:rPr>
        <w:t>德华兔宝宝装饰新材股份有限公司</w:t>
      </w:r>
      <w:r>
        <w:rPr>
          <w:rFonts w:cs="Times New Roman" w:asciiTheme="minorEastAsia" w:hAnsiTheme="minorEastAsia"/>
          <w:sz w:val="24"/>
        </w:rPr>
        <w:t>回购专用证券账户”中所持有的回购股票已于</w:t>
      </w:r>
      <w:r>
        <w:rPr>
          <w:rFonts w:hint="eastAsia" w:cs="Times New Roman" w:asciiTheme="minorEastAsia" w:hAnsiTheme="minorEastAsia"/>
          <w:sz w:val="24"/>
        </w:rPr>
        <w:t>2020年11月19日</w:t>
      </w:r>
      <w:r>
        <w:rPr>
          <w:rFonts w:cs="Times New Roman" w:asciiTheme="minorEastAsia" w:hAnsiTheme="minorEastAsia"/>
          <w:sz w:val="24"/>
        </w:rPr>
        <w:t>全部非交易过户至“</w:t>
      </w:r>
      <w:r>
        <w:rPr>
          <w:rFonts w:hint="eastAsia" w:ascii="宋体" w:hAnsi="宋体" w:eastAsia="宋体" w:cs="宋体"/>
          <w:sz w:val="24"/>
        </w:rPr>
        <w:t>德华兔宝宝装饰新材股份有限公司</w:t>
      </w:r>
      <w:r>
        <w:rPr>
          <w:rFonts w:cs="Times New Roman" w:asciiTheme="minorEastAsia" w:hAnsiTheme="minorEastAsia"/>
          <w:sz w:val="24"/>
        </w:rPr>
        <w:t>－第</w:t>
      </w:r>
      <w:r>
        <w:rPr>
          <w:rFonts w:hint="eastAsia" w:cs="Times New Roman" w:asciiTheme="minorEastAsia" w:hAnsiTheme="minorEastAsia"/>
          <w:sz w:val="24"/>
        </w:rPr>
        <w:t>一</w:t>
      </w:r>
      <w:r>
        <w:rPr>
          <w:rFonts w:cs="Times New Roman" w:asciiTheme="minorEastAsia" w:hAnsiTheme="minorEastAsia"/>
          <w:sz w:val="24"/>
        </w:rPr>
        <w:t>期员工持股计划”专户，过户股数为15,494,000股，占公司总股本的</w:t>
      </w:r>
      <w:r>
        <w:rPr>
          <w:rFonts w:hint="eastAsia" w:cs="Times New Roman" w:asciiTheme="minorEastAsia" w:hAnsiTheme="minorEastAsia"/>
          <w:sz w:val="24"/>
        </w:rPr>
        <w:t>2.00%</w:t>
      </w:r>
      <w:r>
        <w:rPr>
          <w:rFonts w:cs="Times New Roman" w:asciiTheme="minorEastAsia" w:hAnsiTheme="minorEastAsia"/>
          <w:sz w:val="24"/>
        </w:rPr>
        <w:t>。</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根据公司《第</w:t>
      </w:r>
      <w:r>
        <w:rPr>
          <w:rFonts w:hint="eastAsia" w:cs="Times New Roman" w:asciiTheme="minorEastAsia" w:hAnsiTheme="minorEastAsia"/>
          <w:sz w:val="24"/>
        </w:rPr>
        <w:t>一</w:t>
      </w:r>
      <w:r>
        <w:rPr>
          <w:rFonts w:cs="Times New Roman" w:asciiTheme="minorEastAsia" w:hAnsiTheme="minorEastAsia"/>
          <w:sz w:val="24"/>
        </w:rPr>
        <w:t>期员工持股计划（草案）》的相关规定，本员工持股计划的存续期为48个月，自公司公告全部标的股票过户至本计划名下之日（即2020年</w:t>
      </w:r>
      <w:r>
        <w:rPr>
          <w:rFonts w:hint="eastAsia" w:cs="Times New Roman" w:asciiTheme="minorEastAsia" w:hAnsiTheme="minorEastAsia"/>
          <w:sz w:val="24"/>
        </w:rPr>
        <w:t>11</w:t>
      </w:r>
      <w:r>
        <w:rPr>
          <w:rFonts w:cs="Times New Roman" w:asciiTheme="minorEastAsia" w:hAnsiTheme="minorEastAsia"/>
          <w:sz w:val="24"/>
        </w:rPr>
        <w:t>月</w:t>
      </w:r>
      <w:r>
        <w:rPr>
          <w:rFonts w:hint="eastAsia" w:cs="Times New Roman" w:asciiTheme="minorEastAsia" w:hAnsiTheme="minorEastAsia"/>
          <w:sz w:val="24"/>
        </w:rPr>
        <w:t>19</w:t>
      </w:r>
      <w:r>
        <w:rPr>
          <w:rFonts w:cs="Times New Roman" w:asciiTheme="minorEastAsia" w:hAnsiTheme="minorEastAsia"/>
          <w:sz w:val="24"/>
        </w:rPr>
        <w:t>日）起分三期解锁，解锁比例分别为</w:t>
      </w:r>
      <w:r>
        <w:rPr>
          <w:rFonts w:hint="eastAsia" w:cs="Times New Roman" w:asciiTheme="minorEastAsia" w:hAnsiTheme="minorEastAsia"/>
          <w:sz w:val="24"/>
        </w:rPr>
        <w:t>40</w:t>
      </w:r>
      <w:r>
        <w:rPr>
          <w:rFonts w:cs="Times New Roman" w:asciiTheme="minorEastAsia" w:hAnsiTheme="minorEastAsia"/>
          <w:sz w:val="24"/>
        </w:rPr>
        <w:t>%、</w:t>
      </w:r>
      <w:r>
        <w:rPr>
          <w:rFonts w:hint="eastAsia" w:cs="Times New Roman" w:asciiTheme="minorEastAsia" w:hAnsiTheme="minorEastAsia"/>
          <w:sz w:val="24"/>
        </w:rPr>
        <w:t>30</w:t>
      </w:r>
      <w:r>
        <w:rPr>
          <w:rFonts w:cs="Times New Roman" w:asciiTheme="minorEastAsia" w:hAnsiTheme="minorEastAsia"/>
          <w:sz w:val="24"/>
        </w:rPr>
        <w:t>%、</w:t>
      </w:r>
      <w:r>
        <w:rPr>
          <w:rFonts w:hint="eastAsia" w:cs="Times New Roman" w:asciiTheme="minorEastAsia" w:hAnsiTheme="minorEastAsia"/>
          <w:sz w:val="24"/>
        </w:rPr>
        <w:t>30</w:t>
      </w:r>
      <w:r>
        <w:rPr>
          <w:rFonts w:cs="Times New Roman" w:asciiTheme="minorEastAsia" w:hAnsiTheme="minorEastAsia"/>
          <w:sz w:val="24"/>
        </w:rPr>
        <w:t>%。</w:t>
      </w:r>
    </w:p>
    <w:p>
      <w:pPr>
        <w:spacing w:line="360" w:lineRule="auto"/>
        <w:ind w:left="420" w:leftChars="200"/>
        <w:rPr>
          <w:rFonts w:cs="Times New Roman" w:asciiTheme="minorEastAsia" w:hAnsiTheme="minorEastAsia"/>
          <w:b/>
          <w:bCs/>
          <w:sz w:val="24"/>
        </w:rPr>
      </w:pPr>
      <w:r>
        <w:rPr>
          <w:rFonts w:hint="eastAsia" w:cs="Times New Roman" w:asciiTheme="minorEastAsia" w:hAnsiTheme="minorEastAsia"/>
          <w:b/>
          <w:bCs/>
          <w:sz w:val="24"/>
        </w:rPr>
        <w:t>三、</w:t>
      </w:r>
      <w:r>
        <w:rPr>
          <w:rFonts w:cs="Times New Roman" w:asciiTheme="minorEastAsia" w:hAnsiTheme="minorEastAsia"/>
          <w:b/>
          <w:bCs/>
          <w:sz w:val="24"/>
        </w:rPr>
        <w:t>本期员工持股计划的关联关系及一致行动的认定</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1、</w:t>
      </w:r>
      <w:r>
        <w:rPr>
          <w:rFonts w:hint="eastAsia" w:cs="Times New Roman" w:asciiTheme="minorEastAsia" w:hAnsiTheme="minorEastAsia"/>
          <w:sz w:val="24"/>
        </w:rPr>
        <w:t>本员工持股计划持有人将放弃因参与员工持股计划而间接持有的公司股票表决权，其所持股份享有除上市公司股东大会表决权以外的其他股东权利（包括但不限于分红权、配股权、转增股份等资产收益权和除表决权外《公司法》赋予给股东的其他权利）。</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、本员工持股计划的参与对象包括公司董事（不含独立董事）、监事和高级管理人员，公司</w:t>
      </w:r>
      <w:r>
        <w:rPr>
          <w:rFonts w:cs="Times New Roman" w:asciiTheme="minorEastAsia" w:hAnsiTheme="minorEastAsia"/>
          <w:sz w:val="24"/>
        </w:rPr>
        <w:t>5%以上股东、实际控制人均未参加本次员工持股计划</w:t>
      </w:r>
      <w:r>
        <w:rPr>
          <w:rFonts w:hint="eastAsia" w:cs="Times New Roman" w:asciiTheme="minorEastAsia" w:hAnsiTheme="minorEastAsia"/>
          <w:sz w:val="24"/>
        </w:rPr>
        <w:t>。参加本计划的公司董事、监事和高级管理人员未担任管理委员会任何职务，本员工持股计划与公司控股股东、实际控制人、董事、监事、高级管理人员不存在一致行动关系。</w:t>
      </w:r>
    </w:p>
    <w:p>
      <w:pPr>
        <w:spacing w:line="360" w:lineRule="auto"/>
        <w:ind w:firstLine="482" w:firstLineChars="200"/>
        <w:rPr>
          <w:rFonts w:cs="Times New Roman" w:asciiTheme="minorEastAsia" w:hAnsiTheme="minorEastAsia"/>
          <w:b/>
          <w:bCs/>
          <w:sz w:val="24"/>
        </w:rPr>
      </w:pPr>
      <w:r>
        <w:rPr>
          <w:rFonts w:hint="eastAsia" w:cs="Times New Roman" w:asciiTheme="minorEastAsia" w:hAnsiTheme="minorEastAsia"/>
          <w:b/>
          <w:bCs/>
          <w:sz w:val="24"/>
        </w:rPr>
        <w:t>四、本期员工持股计划的会计处理</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按照《企业会计准则第</w:t>
      </w:r>
      <w:r>
        <w:rPr>
          <w:rFonts w:cs="Times New Roman" w:asciiTheme="minorEastAsia" w:hAnsiTheme="minorEastAsia"/>
          <w:sz w:val="24"/>
        </w:rPr>
        <w:t>11号——股份支付》的规定：完成等待期内的服务或达到规定业绩条件才可行权的换取职工服务的以权益结算的股份支付，在等待期内的每个资产负债表日，应当以对可行权权益工具数量的最佳估计为基础，按照权益工具授予日的公允价值，将当期取得的服务计入相关成本或费用和资本公积。</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公司将依据《企业会计准则第</w:t>
      </w:r>
      <w:r>
        <w:rPr>
          <w:rFonts w:cs="Times New Roman" w:asciiTheme="minorEastAsia" w:hAnsiTheme="minorEastAsia"/>
          <w:sz w:val="24"/>
        </w:rPr>
        <w:t>11号——股份支付》的规定进行相应会计处理并持续关注第一期员工持股计划实施进展情况，及时按照相关规定履行信息披露义务，敬请广大投资者关注公司公告并注意投资风险。</w:t>
      </w:r>
    </w:p>
    <w:p>
      <w:pPr>
        <w:spacing w:line="360" w:lineRule="auto"/>
        <w:ind w:firstLine="482" w:firstLineChars="200"/>
        <w:rPr>
          <w:rFonts w:cs="Times New Roman" w:asciiTheme="minorEastAsia" w:hAnsiTheme="minorEastAsia"/>
          <w:b/>
          <w:bCs/>
          <w:sz w:val="24"/>
        </w:rPr>
      </w:pPr>
      <w:r>
        <w:rPr>
          <w:rFonts w:hint="eastAsia" w:cs="Times New Roman" w:asciiTheme="minorEastAsia" w:hAnsiTheme="minorEastAsia"/>
          <w:b/>
          <w:bCs/>
          <w:sz w:val="24"/>
        </w:rPr>
        <w:t>五、</w:t>
      </w:r>
      <w:r>
        <w:rPr>
          <w:rFonts w:cs="Times New Roman" w:asciiTheme="minorEastAsia" w:hAnsiTheme="minorEastAsia"/>
          <w:b/>
          <w:bCs/>
          <w:sz w:val="24"/>
        </w:rPr>
        <w:t>备查文件</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中国证券登记结算有限责任公司深圳分公司出具的《证券过户登记确认书》</w:t>
      </w:r>
      <w:r>
        <w:rPr>
          <w:rFonts w:hint="eastAsia" w:cs="Times New Roman" w:asciiTheme="minorEastAsia" w:hAnsiTheme="minorEastAsia"/>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特此公告。</w:t>
      </w:r>
    </w:p>
    <w:p>
      <w:pPr>
        <w:spacing w:line="360" w:lineRule="exact"/>
        <w:ind w:firstLine="480" w:firstLineChars="200"/>
        <w:jc w:val="right"/>
        <w:rPr>
          <w:rFonts w:hint="eastAsia" w:ascii="宋体" w:hAnsi="宋体" w:eastAsia="宋体" w:cs="宋体"/>
          <w:sz w:val="24"/>
        </w:rPr>
      </w:pPr>
    </w:p>
    <w:p>
      <w:pPr>
        <w:spacing w:line="360" w:lineRule="exact"/>
        <w:ind w:firstLine="480" w:firstLineChars="200"/>
        <w:jc w:val="right"/>
        <w:rPr>
          <w:rFonts w:ascii="宋体" w:hAnsi="宋体" w:eastAsia="宋体" w:cs="宋体"/>
          <w:sz w:val="24"/>
        </w:rPr>
      </w:pPr>
      <w:r>
        <w:rPr>
          <w:rFonts w:hint="eastAsia" w:ascii="宋体" w:hAnsi="宋体" w:eastAsia="宋体" w:cs="宋体"/>
          <w:sz w:val="24"/>
        </w:rPr>
        <w:t>德华兔宝宝装饰新材股份有限公司</w:t>
      </w:r>
    </w:p>
    <w:p>
      <w:pPr>
        <w:spacing w:line="360" w:lineRule="exact"/>
        <w:ind w:firstLine="480" w:firstLineChars="200"/>
        <w:jc w:val="center"/>
        <w:rPr>
          <w:rFonts w:ascii="宋体" w:hAnsi="宋体" w:eastAsia="宋体" w:cs="宋体"/>
          <w:sz w:val="24"/>
        </w:rPr>
      </w:pPr>
      <w:r>
        <w:rPr>
          <w:rFonts w:hint="eastAsia" w:ascii="宋体" w:hAnsi="宋体" w:eastAsia="宋体" w:cs="宋体"/>
          <w:sz w:val="24"/>
        </w:rPr>
        <w:t xml:space="preserve">                                          董  事  会</w:t>
      </w:r>
    </w:p>
    <w:p>
      <w:pPr>
        <w:spacing w:line="360" w:lineRule="exact"/>
        <w:ind w:firstLine="480" w:firstLineChars="200"/>
        <w:jc w:val="center"/>
        <w:rPr>
          <w:rFonts w:ascii="宋体" w:hAnsi="宋体" w:eastAsia="宋体" w:cs="宋体"/>
          <w:sz w:val="24"/>
        </w:rPr>
      </w:pPr>
      <w:r>
        <w:rPr>
          <w:rFonts w:hint="eastAsia" w:ascii="宋体" w:hAnsi="宋体" w:eastAsia="宋体" w:cs="宋体"/>
          <w:sz w:val="24"/>
        </w:rPr>
        <w:t xml:space="preserve">                                          2020年11月21日</w:t>
      </w:r>
    </w:p>
    <w:sectPr>
      <w:pgSz w:w="11906" w:h="16838"/>
      <w:pgMar w:top="1247" w:right="1304" w:bottom="102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0DF7F"/>
    <w:multiLevelType w:val="singleLevel"/>
    <w:tmpl w:val="AC50DF7F"/>
    <w:lvl w:ilvl="0" w:tentative="0">
      <w:start w:val="1"/>
      <w:numFmt w:val="chineseCounting"/>
      <w:suff w:val="nothing"/>
      <w:lvlText w:val="%1、"/>
      <w:lvlJc w:val="left"/>
      <w:rPr>
        <w:rFonts w:hint="eastAsia"/>
      </w:rPr>
    </w:lvl>
  </w:abstractNum>
  <w:abstractNum w:abstractNumId="1">
    <w:nsid w:val="7C707FD2"/>
    <w:multiLevelType w:val="singleLevel"/>
    <w:tmpl w:val="7C707FD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97458"/>
    <w:rsid w:val="0068614F"/>
    <w:rsid w:val="007E38C2"/>
    <w:rsid w:val="009801D7"/>
    <w:rsid w:val="00A12EB3"/>
    <w:rsid w:val="00E0108B"/>
    <w:rsid w:val="06354060"/>
    <w:rsid w:val="09506AE7"/>
    <w:rsid w:val="10097458"/>
    <w:rsid w:val="29AE30D7"/>
    <w:rsid w:val="30A15F11"/>
    <w:rsid w:val="33C73D59"/>
    <w:rsid w:val="3C1F7813"/>
    <w:rsid w:val="3EE04FFF"/>
    <w:rsid w:val="4749073F"/>
    <w:rsid w:val="48530364"/>
    <w:rsid w:val="49DE5431"/>
    <w:rsid w:val="4E6C66AD"/>
    <w:rsid w:val="504943B3"/>
    <w:rsid w:val="5097083C"/>
    <w:rsid w:val="51DB2038"/>
    <w:rsid w:val="5BDC392C"/>
    <w:rsid w:val="5BE20B59"/>
    <w:rsid w:val="783C152F"/>
    <w:rsid w:val="7A163638"/>
    <w:rsid w:val="7B066051"/>
    <w:rsid w:val="7E92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Balloon Text"/>
    <w:basedOn w:val="1"/>
    <w:link w:val="8"/>
    <w:qFormat/>
    <w:uiPriority w:val="0"/>
    <w:rPr>
      <w:sz w:val="18"/>
      <w:szCs w:val="18"/>
    </w:rPr>
  </w:style>
  <w:style w:type="paragraph" w:styleId="4">
    <w:name w:val="annotation subject"/>
    <w:basedOn w:val="2"/>
    <w:next w:val="2"/>
    <w:link w:val="10"/>
    <w:qFormat/>
    <w:uiPriority w:val="0"/>
    <w:rPr>
      <w:b/>
      <w:bCs/>
    </w:rPr>
  </w:style>
  <w:style w:type="character" w:styleId="7">
    <w:name w:val="annotation reference"/>
    <w:basedOn w:val="6"/>
    <w:qFormat/>
    <w:uiPriority w:val="0"/>
    <w:rPr>
      <w:sz w:val="21"/>
      <w:szCs w:val="21"/>
    </w:rPr>
  </w:style>
  <w:style w:type="character" w:customStyle="1" w:styleId="8">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9">
    <w:name w:val="批注文字 Char"/>
    <w:basedOn w:val="6"/>
    <w:link w:val="2"/>
    <w:qFormat/>
    <w:uiPriority w:val="0"/>
    <w:rPr>
      <w:rFonts w:asciiTheme="minorHAnsi" w:hAnsiTheme="minorHAnsi" w:eastAsiaTheme="minorEastAsia" w:cstheme="minorBidi"/>
      <w:kern w:val="2"/>
      <w:sz w:val="21"/>
      <w:szCs w:val="22"/>
    </w:rPr>
  </w:style>
  <w:style w:type="character" w:customStyle="1" w:styleId="10">
    <w:name w:val="批注主题 Char"/>
    <w:basedOn w:val="9"/>
    <w:link w:val="4"/>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25853-B9DD-459A-9518-8E06230A9B50}">
  <ds:schemaRefs/>
</ds:datastoreItem>
</file>

<file path=docProps/app.xml><?xml version="1.0" encoding="utf-8"?>
<Properties xmlns="http://schemas.openxmlformats.org/officeDocument/2006/extended-properties" xmlns:vt="http://schemas.openxmlformats.org/officeDocument/2006/docPropsVTypes">
  <Template>Normal</Template>
  <Pages>2</Pages>
  <Words>290</Words>
  <Characters>1654</Characters>
  <Lines>13</Lines>
  <Paragraphs>3</Paragraphs>
  <TotalTime>10</TotalTime>
  <ScaleCrop>false</ScaleCrop>
  <LinksUpToDate>false</LinksUpToDate>
  <CharactersWithSpaces>1941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2020-11-19T07:27:00Z</dcterms:created>
  <dc:creator>啥啥</dc:creator>
  <cp:lastModifiedBy>啥啥</cp:lastModifiedBy>
  <dcterms:modified xsi:type="dcterms:W3CDTF">2020-11-20T05:27:35Z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