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both"/>
        <w:textAlignment w:val="auto"/>
        <w:outlineLvl w:val="9"/>
        <w:rPr>
          <w:rFonts w:hint="default" w:ascii="宋体" w:hAnsi="宋体"/>
          <w:highlight w:val="none"/>
          <w:lang w:val="en-US"/>
        </w:rPr>
      </w:pPr>
      <w:r>
        <w:rPr>
          <w:rFonts w:hint="eastAsia" w:ascii="宋体" w:hAnsi="宋体" w:cs="黑体"/>
        </w:rPr>
        <w:t>股票代码：</w:t>
      </w:r>
      <w:r>
        <w:rPr>
          <w:rFonts w:ascii="宋体" w:hAnsi="宋体"/>
        </w:rPr>
        <w:t>0020</w:t>
      </w:r>
      <w:r>
        <w:rPr>
          <w:rFonts w:hint="eastAsia" w:ascii="宋体" w:hAnsi="宋体"/>
        </w:rPr>
        <w:t>43</w:t>
      </w:r>
      <w:r>
        <w:rPr>
          <w:rFonts w:ascii="宋体" w:hAnsi="宋体"/>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w:t>
      </w:r>
      <w:r>
        <w:rPr>
          <w:rFonts w:hint="eastAsia" w:ascii="宋体" w:hAnsi="宋体" w:cs="黑体"/>
        </w:rPr>
        <w:t>股票简称：兔宝宝</w:t>
      </w:r>
      <w:r>
        <w:rPr>
          <w:rFonts w:ascii="宋体" w:hAnsi="宋体" w:cs="黑体"/>
        </w:rPr>
        <w:t xml:space="preserve"> </w:t>
      </w:r>
      <w:r>
        <w:rPr>
          <w:rFonts w:hint="eastAsia" w:ascii="宋体" w:hAnsi="宋体" w:cs="黑体"/>
        </w:rPr>
        <w:t xml:space="preserve">  </w:t>
      </w:r>
      <w:r>
        <w:rPr>
          <w:rFonts w:hint="eastAsia" w:ascii="宋体" w:hAnsi="宋体" w:cs="黑体"/>
          <w:lang w:val="en-US" w:eastAsia="zh-CN"/>
        </w:rPr>
        <w:t xml:space="preserve"> </w:t>
      </w:r>
      <w:r>
        <w:rPr>
          <w:rFonts w:hint="eastAsia" w:ascii="宋体" w:hAnsi="宋体" w:cs="黑体"/>
        </w:rPr>
        <w:t xml:space="preserve">  </w:t>
      </w:r>
      <w:r>
        <w:rPr>
          <w:rFonts w:hint="eastAsia" w:ascii="宋体" w:hAnsi="宋体" w:cs="黑体"/>
          <w:lang w:val="en-US" w:eastAsia="zh-CN"/>
        </w:rPr>
        <w:t xml:space="preserve"> </w:t>
      </w:r>
      <w:r>
        <w:rPr>
          <w:rFonts w:hint="eastAsia" w:ascii="宋体" w:hAnsi="宋体" w:cs="黑体"/>
        </w:rPr>
        <w:t xml:space="preserve">      公告编号：</w:t>
      </w:r>
      <w:r>
        <w:rPr>
          <w:rFonts w:hint="eastAsia" w:ascii="宋体" w:hAnsi="宋体"/>
          <w:lang w:val="en-US" w:eastAsia="zh-CN"/>
        </w:rPr>
        <w:t>2020</w:t>
      </w:r>
      <w:r>
        <w:rPr>
          <w:rFonts w:hint="eastAsia" w:ascii="宋体" w:hAnsi="宋体"/>
        </w:rPr>
        <w:t>-</w:t>
      </w:r>
      <w:r>
        <w:rPr>
          <w:rFonts w:hint="eastAsia" w:ascii="宋体" w:hAnsi="宋体"/>
          <w:lang w:val="en-US" w:eastAsia="zh-CN"/>
        </w:rPr>
        <w:t>0</w:t>
      </w:r>
      <w:r>
        <w:rPr>
          <w:rFonts w:hint="eastAsia" w:ascii="宋体" w:hAnsi="宋体"/>
          <w:highlight w:val="none"/>
          <w:lang w:val="en-US" w:eastAsia="zh-CN"/>
        </w:rPr>
        <w:t>43</w:t>
      </w:r>
    </w:p>
    <w:p>
      <w:pPr>
        <w:pStyle w:val="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宋体" w:hAnsi="宋体"/>
          <w:sz w:val="18"/>
          <w:szCs w:val="18"/>
        </w:rPr>
      </w:pPr>
    </w:p>
    <w:p>
      <w:pPr>
        <w:pStyle w:val="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宋体" w:hAnsi="宋体" w:cs="黑体"/>
          <w:b/>
          <w:sz w:val="32"/>
          <w:szCs w:val="32"/>
        </w:rPr>
      </w:pPr>
      <w:r>
        <w:rPr>
          <w:rFonts w:hint="eastAsia" w:ascii="宋体" w:hAnsi="宋体" w:cs="黑体"/>
          <w:b/>
          <w:sz w:val="32"/>
          <w:szCs w:val="32"/>
        </w:rPr>
        <w:t>德华兔宝宝装饰新材股份有限公司</w:t>
      </w:r>
    </w:p>
    <w:p>
      <w:pPr>
        <w:pStyle w:val="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宋体" w:hAnsi="宋体" w:cs="黑体"/>
          <w:b/>
          <w:sz w:val="32"/>
          <w:szCs w:val="32"/>
        </w:rPr>
      </w:pPr>
      <w:r>
        <w:rPr>
          <w:rFonts w:hint="eastAsia" w:ascii="宋体" w:hAnsi="宋体"/>
          <w:b/>
          <w:sz w:val="32"/>
          <w:szCs w:val="32"/>
          <w:lang w:val="en-US" w:eastAsia="zh-CN"/>
        </w:rPr>
        <w:t>2019</w:t>
      </w:r>
      <w:r>
        <w:rPr>
          <w:rFonts w:hint="eastAsia" w:ascii="宋体" w:hAnsi="宋体" w:cs="黑体"/>
          <w:b/>
          <w:sz w:val="32"/>
          <w:szCs w:val="32"/>
        </w:rPr>
        <w:t>年度权益分派实施公告</w:t>
      </w:r>
    </w:p>
    <w:p>
      <w:pPr>
        <w:pStyle w:val="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ascii="宋体" w:hAnsi="宋体" w:cs="黑体"/>
          <w:b/>
          <w:sz w:val="18"/>
          <w:szCs w:val="18"/>
        </w:rPr>
      </w:pPr>
    </w:p>
    <w:p>
      <w:pPr>
        <w:pStyle w:val="6"/>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480" w:firstLineChars="200"/>
        <w:jc w:val="both"/>
        <w:textAlignment w:val="auto"/>
        <w:outlineLvl w:val="9"/>
        <w:rPr>
          <w:rFonts w:ascii="宋体" w:hAnsi="宋体" w:cs="黑体"/>
          <w:highlight w:val="none"/>
        </w:rPr>
      </w:pPr>
      <w:r>
        <w:rPr>
          <w:rFonts w:hint="eastAsia" w:ascii="宋体" w:hAnsi="宋体" w:cs="黑体"/>
        </w:rPr>
        <w:t>本公司及董事会全体成员保证信息披露内容的真实、准确和完整，没有虚假记载、误导性陈述或重大遗漏。</w:t>
      </w:r>
      <w:r>
        <w:rPr>
          <w:rFonts w:ascii="宋体" w:hAnsi="宋体" w:cs="黑体"/>
        </w:rPr>
        <w:t xml:space="preserve"> </w:t>
      </w:r>
    </w:p>
    <w:p>
      <w:pPr>
        <w:pStyle w:val="6"/>
        <w:keepNext w:val="0"/>
        <w:keepLines w:val="0"/>
        <w:pageBreakBefore w:val="0"/>
        <w:widowControl w:val="0"/>
        <w:kinsoku/>
        <w:wordWrap/>
        <w:overflowPunct/>
        <w:topLinePunct w:val="0"/>
        <w:autoSpaceDE w:val="0"/>
        <w:autoSpaceDN w:val="0"/>
        <w:bidi w:val="0"/>
        <w:adjustRightInd w:val="0"/>
        <w:snapToGrid/>
        <w:spacing w:before="156" w:beforeLines="50" w:line="440" w:lineRule="exact"/>
        <w:ind w:left="0" w:leftChars="0" w:right="0" w:rightChars="0" w:firstLine="482" w:firstLineChars="200"/>
        <w:jc w:val="both"/>
        <w:textAlignment w:val="auto"/>
        <w:outlineLvl w:val="9"/>
        <w:rPr>
          <w:rFonts w:hint="eastAsia" w:ascii="宋体" w:hAnsi="宋体" w:cs="宋体"/>
          <w:b/>
          <w:bCs/>
          <w:sz w:val="24"/>
          <w:szCs w:val="24"/>
          <w:highlight w:val="none"/>
        </w:rPr>
      </w:pPr>
      <w:r>
        <w:rPr>
          <w:rFonts w:hint="eastAsia" w:ascii="宋体" w:hAnsi="宋体" w:cs="宋体"/>
          <w:b/>
          <w:bCs/>
          <w:sz w:val="24"/>
          <w:szCs w:val="24"/>
          <w:highlight w:val="none"/>
        </w:rPr>
        <w:t xml:space="preserve">一、股东大会审议通过分配方案等情况 </w:t>
      </w:r>
    </w:p>
    <w:p>
      <w:pPr>
        <w:pStyle w:val="6"/>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rightChars="0" w:firstLine="480" w:firstLineChars="200"/>
        <w:jc w:val="both"/>
        <w:textAlignment w:val="auto"/>
        <w:outlineLvl w:val="9"/>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eastAsia="zh-CN"/>
        </w:rPr>
        <w:t>德华兔宝宝装饰新材</w:t>
      </w:r>
      <w:r>
        <w:rPr>
          <w:rFonts w:hint="eastAsia" w:ascii="宋体" w:hAnsi="宋体" w:cs="宋体"/>
          <w:highlight w:val="none"/>
        </w:rPr>
        <w:t>股份有限公司（以下简称“公司”）</w:t>
      </w:r>
      <w:r>
        <w:rPr>
          <w:rFonts w:hint="eastAsia" w:ascii="宋体" w:hAnsi="宋体" w:cs="宋体"/>
          <w:highlight w:val="none"/>
          <w:lang w:val="en-US" w:eastAsia="zh-CN"/>
        </w:rPr>
        <w:t>2019</w:t>
      </w:r>
      <w:r>
        <w:rPr>
          <w:rFonts w:hint="eastAsia" w:ascii="宋体" w:hAnsi="宋体" w:cs="宋体"/>
          <w:highlight w:val="none"/>
        </w:rPr>
        <w:t>年年度权益分配预案已由</w:t>
      </w:r>
      <w:r>
        <w:rPr>
          <w:rFonts w:hint="eastAsia" w:ascii="宋体" w:hAnsi="宋体" w:cs="宋体"/>
          <w:highlight w:val="none"/>
          <w:lang w:val="en-US" w:eastAsia="zh-CN"/>
        </w:rPr>
        <w:t>2020年5月19日</w:t>
      </w:r>
      <w:r>
        <w:rPr>
          <w:rFonts w:hint="eastAsia" w:ascii="宋体" w:hAnsi="宋体" w:cs="宋体"/>
          <w:highlight w:val="none"/>
        </w:rPr>
        <w:t>召开的公司</w:t>
      </w:r>
      <w:r>
        <w:rPr>
          <w:rFonts w:hint="eastAsia" w:ascii="宋体" w:hAnsi="宋体" w:cs="宋体"/>
          <w:highlight w:val="none"/>
          <w:lang w:val="en-US" w:eastAsia="zh-CN"/>
        </w:rPr>
        <w:t>2019</w:t>
      </w:r>
      <w:r>
        <w:rPr>
          <w:rFonts w:hint="eastAsia" w:ascii="宋体" w:hAnsi="宋体" w:cs="宋体"/>
          <w:highlight w:val="none"/>
        </w:rPr>
        <w:t>年年度股东大会审议通过，股东大会决议公告已刊登在</w:t>
      </w:r>
      <w:r>
        <w:rPr>
          <w:rFonts w:hint="eastAsia" w:ascii="宋体" w:hAnsi="宋体" w:cs="宋体"/>
          <w:highlight w:val="none"/>
          <w:lang w:val="en-US" w:eastAsia="zh-CN"/>
        </w:rPr>
        <w:t>2020年5月20日</w:t>
      </w:r>
      <w:r>
        <w:rPr>
          <w:rFonts w:hint="eastAsia" w:ascii="宋体" w:hAnsi="宋体" w:cs="宋体"/>
          <w:highlight w:val="none"/>
        </w:rPr>
        <w:t>的《证券时报》</w:t>
      </w:r>
      <w:r>
        <w:rPr>
          <w:rFonts w:hint="eastAsia" w:ascii="宋体" w:hAnsi="宋体" w:cs="宋体"/>
          <w:highlight w:val="none"/>
          <w:lang w:eastAsia="zh-CN"/>
        </w:rPr>
        <w:t>、</w:t>
      </w:r>
      <w:r>
        <w:rPr>
          <w:rFonts w:hint="eastAsia" w:ascii="宋体" w:hAnsi="宋体" w:cs="宋体"/>
          <w:highlight w:val="none"/>
        </w:rPr>
        <w:t xml:space="preserve">《中国证券报》和巨潮资讯网（www.cninfo.com.cn）。 </w:t>
      </w:r>
    </w:p>
    <w:p>
      <w:pPr>
        <w:pStyle w:val="6"/>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rightChars="0" w:firstLine="480" w:firstLineChars="200"/>
        <w:jc w:val="both"/>
        <w:textAlignment w:val="auto"/>
        <w:outlineLvl w:val="9"/>
        <w:rPr>
          <w:rFonts w:hint="eastAsia" w:ascii="宋体" w:hAnsi="宋体" w:cs="宋体"/>
          <w:highlight w:val="none"/>
        </w:rPr>
      </w:pPr>
      <w:r>
        <w:rPr>
          <w:rFonts w:hint="eastAsia" w:ascii="宋体" w:hAnsi="宋体" w:cs="宋体"/>
          <w:highlight w:val="none"/>
        </w:rPr>
        <w:t>本次实施的利润分配方案，与</w:t>
      </w:r>
      <w:r>
        <w:rPr>
          <w:rFonts w:hint="eastAsia" w:ascii="宋体" w:hAnsi="宋体" w:cs="宋体"/>
          <w:highlight w:val="none"/>
          <w:lang w:val="en-US" w:eastAsia="zh-CN"/>
        </w:rPr>
        <w:t>2019</w:t>
      </w:r>
      <w:r>
        <w:rPr>
          <w:rFonts w:hint="eastAsia" w:ascii="宋体" w:hAnsi="宋体" w:cs="宋体"/>
          <w:highlight w:val="none"/>
        </w:rPr>
        <w:t>年度股东大会审议的议案一致。</w:t>
      </w:r>
    </w:p>
    <w:p>
      <w:pPr>
        <w:pStyle w:val="6"/>
        <w:keepNext w:val="0"/>
        <w:keepLines w:val="0"/>
        <w:pageBreakBefore w:val="0"/>
        <w:widowControl w:val="0"/>
        <w:numPr>
          <w:ilvl w:val="0"/>
          <w:numId w:val="1"/>
        </w:numPr>
        <w:kinsoku/>
        <w:wordWrap/>
        <w:overflowPunct/>
        <w:topLinePunct w:val="0"/>
        <w:autoSpaceDE w:val="0"/>
        <w:autoSpaceDN w:val="0"/>
        <w:bidi w:val="0"/>
        <w:adjustRightInd w:val="0"/>
        <w:snapToGrid/>
        <w:spacing w:line="440" w:lineRule="exact"/>
        <w:ind w:left="0" w:leftChars="0" w:right="0" w:rightChars="0" w:firstLine="480" w:firstLineChars="200"/>
        <w:jc w:val="both"/>
        <w:textAlignment w:val="auto"/>
        <w:outlineLvl w:val="9"/>
        <w:rPr>
          <w:rFonts w:hint="eastAsia" w:ascii="宋体" w:hAnsi="宋体" w:cs="宋体"/>
          <w:highlight w:val="none"/>
        </w:rPr>
      </w:pPr>
      <w:r>
        <w:rPr>
          <w:rFonts w:hint="eastAsia" w:ascii="宋体" w:hAnsi="宋体" w:cs="宋体"/>
          <w:highlight w:val="none"/>
        </w:rPr>
        <w:t>本次利润分配距离股东大会通过利润分配方案时间未超过两个月。</w:t>
      </w:r>
    </w:p>
    <w:p>
      <w:pPr>
        <w:pStyle w:val="6"/>
        <w:keepNext w:val="0"/>
        <w:keepLines w:val="0"/>
        <w:pageBreakBefore w:val="0"/>
        <w:widowControl w:val="0"/>
        <w:numPr>
          <w:ilvl w:val="0"/>
          <w:numId w:val="1"/>
        </w:numPr>
        <w:kinsoku/>
        <w:wordWrap/>
        <w:overflowPunct/>
        <w:topLinePunct w:val="0"/>
        <w:autoSpaceDE w:val="0"/>
        <w:autoSpaceDN w:val="0"/>
        <w:bidi w:val="0"/>
        <w:adjustRightInd w:val="0"/>
        <w:snapToGrid/>
        <w:spacing w:line="440" w:lineRule="exact"/>
        <w:ind w:left="0" w:leftChars="0" w:right="0" w:rightChars="0" w:firstLine="480" w:firstLineChars="200"/>
        <w:jc w:val="both"/>
        <w:textAlignment w:val="auto"/>
        <w:outlineLvl w:val="9"/>
        <w:rPr>
          <w:rFonts w:hint="eastAsia" w:ascii="宋体" w:hAnsi="宋体" w:cs="宋体"/>
          <w:highlight w:val="none"/>
        </w:rPr>
      </w:pPr>
      <w:r>
        <w:rPr>
          <w:rFonts w:hint="eastAsia" w:ascii="宋体" w:hAnsi="宋体" w:cs="宋体"/>
          <w:highlight w:val="none"/>
        </w:rPr>
        <w:t>本次分派方案是</w:t>
      </w:r>
      <w:r>
        <w:rPr>
          <w:rFonts w:hint="eastAsia" w:ascii="宋体" w:hAnsi="宋体" w:cs="宋体"/>
          <w:highlight w:val="none"/>
          <w:lang w:val="en-US" w:eastAsia="zh-CN"/>
        </w:rPr>
        <w:t>按照</w:t>
      </w:r>
      <w:r>
        <w:rPr>
          <w:rFonts w:hint="eastAsia" w:ascii="宋体" w:hAnsi="宋体" w:cs="宋体"/>
          <w:highlight w:val="none"/>
        </w:rPr>
        <w:t>分配</w:t>
      </w:r>
      <w:r>
        <w:rPr>
          <w:rFonts w:hint="eastAsia" w:ascii="宋体" w:hAnsi="宋体" w:cs="宋体"/>
          <w:highlight w:val="none"/>
          <w:lang w:val="en-US" w:eastAsia="zh-CN"/>
        </w:rPr>
        <w:t>比例不变的原则</w:t>
      </w:r>
      <w:r>
        <w:rPr>
          <w:rFonts w:hint="eastAsia" w:ascii="宋体" w:hAnsi="宋体" w:cs="宋体"/>
          <w:highlight w:val="none"/>
        </w:rPr>
        <w:t>。</w:t>
      </w:r>
    </w:p>
    <w:p>
      <w:pPr>
        <w:pStyle w:val="6"/>
        <w:keepNext w:val="0"/>
        <w:keepLines w:val="0"/>
        <w:pageBreakBefore w:val="0"/>
        <w:widowControl w:val="0"/>
        <w:numPr>
          <w:ilvl w:val="0"/>
          <w:numId w:val="2"/>
        </w:numPr>
        <w:kinsoku/>
        <w:wordWrap/>
        <w:overflowPunct/>
        <w:topLinePunct w:val="0"/>
        <w:autoSpaceDE w:val="0"/>
        <w:autoSpaceDN w:val="0"/>
        <w:bidi w:val="0"/>
        <w:adjustRightInd w:val="0"/>
        <w:snapToGrid/>
        <w:spacing w:after="0" w:afterLines="0" w:line="440" w:lineRule="exact"/>
        <w:ind w:left="0" w:leftChars="0" w:right="0" w:rightChars="0" w:firstLine="482" w:firstLineChars="200"/>
        <w:jc w:val="both"/>
        <w:textAlignment w:val="auto"/>
        <w:outlineLvl w:val="9"/>
        <w:rPr>
          <w:rFonts w:ascii="宋体" w:hAnsi="宋体" w:cs="宋体"/>
          <w:b/>
          <w:bCs/>
          <w:sz w:val="24"/>
          <w:szCs w:val="24"/>
          <w:highlight w:val="none"/>
        </w:rPr>
      </w:pPr>
      <w:r>
        <w:rPr>
          <w:rFonts w:hint="eastAsia" w:ascii="宋体" w:hAnsi="宋体" w:cs="宋体"/>
          <w:b/>
          <w:bCs/>
          <w:sz w:val="24"/>
          <w:szCs w:val="24"/>
          <w:highlight w:val="none"/>
          <w:lang w:eastAsia="zh-CN"/>
        </w:rPr>
        <w:t>本次实施的</w:t>
      </w:r>
      <w:r>
        <w:rPr>
          <w:rFonts w:hint="eastAsia" w:ascii="宋体" w:hAnsi="宋体" w:cs="宋体"/>
          <w:b/>
          <w:bCs/>
          <w:sz w:val="24"/>
          <w:szCs w:val="24"/>
          <w:highlight w:val="none"/>
        </w:rPr>
        <w:t>权益分派方案</w:t>
      </w:r>
      <w:r>
        <w:rPr>
          <w:rFonts w:ascii="宋体" w:hAnsi="宋体" w:cs="宋体"/>
          <w:b/>
          <w:bCs/>
          <w:sz w:val="24"/>
          <w:szCs w:val="24"/>
          <w:highlight w:val="none"/>
        </w:rPr>
        <w:t xml:space="preserve"> </w:t>
      </w:r>
    </w:p>
    <w:p>
      <w:pPr>
        <w:pStyle w:val="6"/>
        <w:keepNext w:val="0"/>
        <w:keepLines w:val="0"/>
        <w:pageBreakBefore w:val="0"/>
        <w:widowControl w:val="0"/>
        <w:kinsoku/>
        <w:wordWrap/>
        <w:overflowPunct/>
        <w:topLinePunct w:val="0"/>
        <w:autoSpaceDE w:val="0"/>
        <w:autoSpaceDN w:val="0"/>
        <w:bidi w:val="0"/>
        <w:adjustRightInd w:val="0"/>
        <w:snapToGrid/>
        <w:spacing w:after="0" w:afterLines="0" w:line="440" w:lineRule="exact"/>
        <w:ind w:left="0" w:leftChars="0" w:right="0" w:rightChars="0" w:firstLine="480" w:firstLineChars="200"/>
        <w:jc w:val="both"/>
        <w:textAlignment w:val="auto"/>
        <w:outlineLvl w:val="9"/>
        <w:rPr>
          <w:rFonts w:hint="eastAsia" w:ascii="宋体" w:hAnsi="宋体" w:cs="宋体"/>
          <w:highlight w:val="none"/>
        </w:rPr>
      </w:pPr>
      <w:r>
        <w:rPr>
          <w:rFonts w:hint="eastAsia" w:ascii="宋体" w:hAnsi="宋体" w:cs="宋体"/>
          <w:highlight w:val="none"/>
        </w:rPr>
        <w:t>本公司</w:t>
      </w:r>
      <w:r>
        <w:rPr>
          <w:rFonts w:hint="eastAsia" w:ascii="宋体" w:hAnsi="宋体" w:cs="宋体"/>
          <w:highlight w:val="none"/>
          <w:lang w:val="en-US" w:eastAsia="zh-CN"/>
        </w:rPr>
        <w:t>2019</w:t>
      </w:r>
      <w:r>
        <w:rPr>
          <w:rFonts w:hint="eastAsia" w:ascii="宋体" w:hAnsi="宋体" w:cs="宋体"/>
          <w:highlight w:val="none"/>
        </w:rPr>
        <w:t>年度权益分派方案为</w:t>
      </w:r>
      <w:r>
        <w:rPr>
          <w:rFonts w:hint="eastAsia" w:ascii="宋体" w:hAnsi="宋体" w:cs="宋体"/>
          <w:highlight w:val="none"/>
          <w:lang w:eastAsia="zh-CN"/>
        </w:rPr>
        <w:t>：</w:t>
      </w:r>
      <w:r>
        <w:rPr>
          <w:rFonts w:hint="eastAsia" w:ascii="宋体" w:hAnsi="宋体" w:cs="宋体"/>
          <w:highlight w:val="none"/>
        </w:rPr>
        <w:t>以公司现有总股本</w:t>
      </w:r>
      <w:r>
        <w:rPr>
          <w:rFonts w:hint="eastAsia" w:ascii="宋体" w:hAnsi="宋体" w:cs="宋体"/>
          <w:highlight w:val="none"/>
          <w:lang w:val="en-US" w:eastAsia="zh-CN"/>
        </w:rPr>
        <w:t>(774,756,002股)</w:t>
      </w:r>
      <w:r>
        <w:rPr>
          <w:rFonts w:hint="eastAsia" w:ascii="宋体" w:hAnsi="宋体" w:cs="宋体"/>
          <w:highlight w:val="none"/>
        </w:rPr>
        <w:t>剔除已回购股份后748,084,609股为基数，其中回购股份26,671,393股，向全体股东每10股派发现金红利人民币2.50</w:t>
      </w:r>
      <w:r>
        <w:rPr>
          <w:rFonts w:hint="eastAsia" w:ascii="宋体" w:hAnsi="宋体" w:cs="宋体"/>
          <w:highlight w:val="none"/>
          <w:lang w:val="en-US" w:eastAsia="zh-CN"/>
        </w:rPr>
        <w:t>0000</w:t>
      </w:r>
      <w:r>
        <w:rPr>
          <w:rFonts w:hint="eastAsia" w:ascii="宋体" w:hAnsi="宋体" w:cs="宋体"/>
          <w:highlight w:val="none"/>
        </w:rPr>
        <w:t xml:space="preserve">元（含税）；本年度不进行公积金转增股本，不分红股。（含税；扣税后，通过深股通持有股份的香港市场投资者 </w:t>
      </w:r>
      <w:r>
        <w:rPr>
          <w:rFonts w:hint="eastAsia" w:ascii="宋体" w:hAnsi="宋体" w:cs="宋体"/>
          <w:highlight w:val="none"/>
          <w:lang w:eastAsia="zh-CN"/>
        </w:rPr>
        <w:t>、</w:t>
      </w:r>
      <w:r>
        <w:rPr>
          <w:rFonts w:hint="eastAsia" w:ascii="宋体" w:hAnsi="宋体" w:cs="宋体"/>
          <w:highlight w:val="none"/>
        </w:rPr>
        <w:t>QFII、RQFII以及持有首发前限售股的个人和证券投资基金每10股派</w:t>
      </w:r>
      <w:r>
        <w:rPr>
          <w:rFonts w:hint="eastAsia" w:ascii="宋体" w:hAnsi="宋体" w:cs="宋体"/>
          <w:highlight w:val="none"/>
          <w:lang w:val="en-US" w:eastAsia="zh-CN"/>
        </w:rPr>
        <w:t>2.250000</w:t>
      </w:r>
      <w:r>
        <w:rPr>
          <w:rFonts w:hint="eastAsia" w:ascii="宋体" w:hAnsi="宋体" w:cs="宋体"/>
          <w:highlight w:val="none"/>
        </w:rPr>
        <w:t>元；持有首发后限售股、股权激励限售股及无限售流通股的个人股息红利税实行差别化税率征收，本公司暂不扣缴个人所得税，待个人转让股票时，根据其持股期限计算应纳税额【注】；持有首发后限售股、股权激励限售股及无限售流通股的证券投资基金所涉红利税，对香港投资者持有基金份额部分按10%征收，对内地投资者持有基金份额部分实行差别化税率征收）</w:t>
      </w:r>
      <w:r>
        <w:rPr>
          <w:rFonts w:hint="eastAsia" w:ascii="宋体" w:hAnsi="宋体" w:cs="宋体"/>
          <w:highlight w:val="none"/>
          <w:lang w:eastAsia="zh-CN"/>
        </w:rPr>
        <w:t>。</w:t>
      </w:r>
      <w:r>
        <w:rPr>
          <w:rFonts w:hint="eastAsia" w:ascii="宋体" w:hAnsi="宋体" w:cs="宋体"/>
          <w:highlight w:val="none"/>
        </w:rPr>
        <w:br w:type="textWrapping"/>
      </w:r>
      <w:r>
        <w:rPr>
          <w:rFonts w:hint="eastAsia" w:ascii="宋体" w:hAnsi="宋体" w:cs="宋体"/>
          <w:highlight w:val="none"/>
        </w:rPr>
        <w:t>　　【注：根据先进先出的原则，以投资者证券账户为单位计算持股期限，持股1个月（含1个月）以内，每10股补缴税款</w:t>
      </w:r>
      <w:r>
        <w:rPr>
          <w:rFonts w:hint="eastAsia" w:ascii="宋体" w:hAnsi="宋体" w:cs="宋体"/>
          <w:highlight w:val="none"/>
          <w:lang w:val="en-US" w:eastAsia="zh-CN"/>
        </w:rPr>
        <w:t>0.500000</w:t>
      </w:r>
      <w:r>
        <w:rPr>
          <w:rFonts w:hint="eastAsia" w:ascii="宋体" w:hAnsi="宋体" w:cs="宋体"/>
          <w:highlight w:val="none"/>
        </w:rPr>
        <w:t>元；持股1个月以上至1年（含1年）的，每10股补缴税款</w:t>
      </w:r>
      <w:r>
        <w:rPr>
          <w:rFonts w:hint="eastAsia" w:ascii="宋体" w:hAnsi="宋体" w:cs="宋体"/>
          <w:highlight w:val="none"/>
          <w:lang w:val="en-US" w:eastAsia="zh-CN"/>
        </w:rPr>
        <w:t>0.250000</w:t>
      </w:r>
      <w:bookmarkStart w:id="0" w:name="_GoBack"/>
      <w:bookmarkEnd w:id="0"/>
      <w:r>
        <w:rPr>
          <w:rFonts w:hint="eastAsia" w:ascii="宋体" w:hAnsi="宋体" w:cs="宋体"/>
          <w:highlight w:val="none"/>
        </w:rPr>
        <w:t xml:space="preserve">元；持股超过1年的，不需补缴税款。】 </w:t>
      </w:r>
    </w:p>
    <w:p>
      <w:pPr>
        <w:pStyle w:val="6"/>
        <w:keepNext w:val="0"/>
        <w:keepLines w:val="0"/>
        <w:pageBreakBefore w:val="0"/>
        <w:widowControl w:val="0"/>
        <w:numPr>
          <w:ilvl w:val="0"/>
          <w:numId w:val="2"/>
        </w:numPr>
        <w:kinsoku/>
        <w:wordWrap/>
        <w:overflowPunct/>
        <w:topLinePunct w:val="0"/>
        <w:autoSpaceDE w:val="0"/>
        <w:autoSpaceDN w:val="0"/>
        <w:bidi w:val="0"/>
        <w:adjustRightInd w:val="0"/>
        <w:snapToGrid/>
        <w:spacing w:after="0" w:afterLines="0" w:line="440" w:lineRule="exact"/>
        <w:ind w:left="0" w:leftChars="0" w:right="0" w:rightChars="0" w:firstLine="482" w:firstLineChars="200"/>
        <w:jc w:val="both"/>
        <w:textAlignment w:val="auto"/>
        <w:outlineLvl w:val="9"/>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除权除息参考价的相关参数和公式</w:t>
      </w:r>
    </w:p>
    <w:p>
      <w:pPr>
        <w:pStyle w:val="6"/>
        <w:keepNext w:val="0"/>
        <w:keepLines w:val="0"/>
        <w:pageBreakBefore w:val="0"/>
        <w:widowControl w:val="0"/>
        <w:kinsoku/>
        <w:wordWrap/>
        <w:overflowPunct/>
        <w:topLinePunct w:val="0"/>
        <w:autoSpaceDE w:val="0"/>
        <w:autoSpaceDN w:val="0"/>
        <w:bidi w:val="0"/>
        <w:adjustRightInd w:val="0"/>
        <w:snapToGrid/>
        <w:spacing w:after="0" w:afterLines="0" w:line="440" w:lineRule="exact"/>
        <w:ind w:left="0" w:leftChars="0" w:right="0" w:rightChars="0" w:firstLine="480" w:firstLineChars="200"/>
        <w:jc w:val="both"/>
        <w:textAlignment w:val="auto"/>
        <w:outlineLvl w:val="9"/>
        <w:rPr>
          <w:rFonts w:hint="default" w:ascii="宋体" w:hAnsi="宋体" w:cs="宋体"/>
          <w:highlight w:val="none"/>
          <w:lang w:val="en-US" w:eastAsia="zh-CN"/>
        </w:rPr>
      </w:pPr>
      <w:r>
        <w:rPr>
          <w:rFonts w:hint="default" w:ascii="宋体" w:hAnsi="宋体" w:cs="宋体"/>
          <w:highlight w:val="none"/>
          <w:lang w:val="en-US" w:eastAsia="zh-CN"/>
        </w:rPr>
        <w:t>考虑到公司回购专用证券账户上的股份不参与2019年年度权益分派，公司本次实际现金分红的总金额=实际参与分配的总股本×分配比例，即</w:t>
      </w:r>
      <w:r>
        <w:rPr>
          <w:rFonts w:hint="eastAsia" w:ascii="宋体" w:hAnsi="宋体" w:cs="宋体"/>
          <w:highlight w:val="none"/>
          <w:lang w:val="en-US" w:eastAsia="zh-CN"/>
        </w:rPr>
        <w:t>187,021,152.25</w:t>
      </w:r>
      <w:r>
        <w:rPr>
          <w:rFonts w:hint="default" w:ascii="宋体" w:hAnsi="宋体" w:cs="宋体"/>
          <w:highlight w:val="none"/>
          <w:lang w:val="en-US" w:eastAsia="zh-CN"/>
        </w:rPr>
        <w:t>元=</w:t>
      </w:r>
      <w:r>
        <w:rPr>
          <w:rFonts w:hint="eastAsia" w:ascii="宋体" w:hAnsi="宋体" w:cs="宋体"/>
          <w:highlight w:val="none"/>
          <w:lang w:val="en-US" w:eastAsia="zh-CN"/>
        </w:rPr>
        <w:t>748,084,609</w:t>
      </w:r>
      <w:r>
        <w:rPr>
          <w:rFonts w:hint="default" w:ascii="宋体" w:hAnsi="宋体" w:cs="宋体"/>
          <w:highlight w:val="none"/>
          <w:lang w:val="en-US" w:eastAsia="zh-CN"/>
        </w:rPr>
        <w:t>股×</w:t>
      </w:r>
      <w:r>
        <w:rPr>
          <w:rFonts w:hint="eastAsia" w:ascii="宋体" w:hAnsi="宋体" w:cs="宋体"/>
          <w:highlight w:val="none"/>
          <w:lang w:val="en-US" w:eastAsia="zh-CN"/>
        </w:rPr>
        <w:t>0.25</w:t>
      </w:r>
      <w:r>
        <w:rPr>
          <w:rFonts w:hint="default" w:ascii="宋体" w:hAnsi="宋体" w:cs="宋体"/>
          <w:highlight w:val="none"/>
          <w:lang w:val="en-US" w:eastAsia="zh-CN"/>
        </w:rPr>
        <w:t>元/股。因公司回购股份不参与分红，本次权益分派实施后，根据股票市值不变原则，实施权益分派前后公司总股本保持不变，现金分红总额分摊到每10股的比例将减小，因此，本次权益分派实施后除权除息价格计算时，每10股现金红利应以</w:t>
      </w:r>
      <w:r>
        <w:rPr>
          <w:rFonts w:hint="eastAsia" w:ascii="宋体" w:hAnsi="宋体" w:cs="宋体"/>
          <w:highlight w:val="none"/>
          <w:lang w:val="en-US" w:eastAsia="zh-CN"/>
        </w:rPr>
        <w:t>2.413936</w:t>
      </w:r>
      <w:r>
        <w:rPr>
          <w:rFonts w:hint="default" w:ascii="宋体" w:hAnsi="宋体" w:cs="宋体"/>
          <w:highlight w:val="none"/>
          <w:lang w:val="en-US" w:eastAsia="zh-CN"/>
        </w:rPr>
        <w:t>元计算。（每10股现金红利=现金分红总额/总股本×10股，即</w:t>
      </w:r>
      <w:r>
        <w:rPr>
          <w:rFonts w:hint="eastAsia" w:ascii="宋体" w:hAnsi="宋体" w:cs="宋体"/>
          <w:highlight w:val="none"/>
          <w:lang w:val="en-US" w:eastAsia="zh-CN"/>
        </w:rPr>
        <w:t>2.413936</w:t>
      </w:r>
      <w:r>
        <w:rPr>
          <w:rFonts w:hint="default" w:ascii="宋体" w:hAnsi="宋体" w:cs="宋体"/>
          <w:highlight w:val="none"/>
          <w:lang w:val="en-US" w:eastAsia="zh-CN"/>
        </w:rPr>
        <w:t>元=187,021,152.25元÷</w:t>
      </w:r>
      <w:r>
        <w:rPr>
          <w:rFonts w:hint="eastAsia" w:ascii="宋体" w:hAnsi="宋体" w:cs="宋体"/>
          <w:highlight w:val="none"/>
          <w:lang w:val="en-US" w:eastAsia="zh-CN"/>
        </w:rPr>
        <w:t>774,756,002</w:t>
      </w:r>
      <w:r>
        <w:rPr>
          <w:rFonts w:hint="default" w:ascii="宋体" w:hAnsi="宋体" w:cs="宋体"/>
          <w:highlight w:val="none"/>
          <w:lang w:val="en-US" w:eastAsia="zh-CN"/>
        </w:rPr>
        <w:t>股×10股）。综上，在保证本次权益分派方案不变的前提下，2019年年度权益分派实施后的除权除息价格按照上述原则及计算方式执行，即本次权益分派实施后的除权除息价格=股权登记日收盘价-</w:t>
      </w:r>
      <w:r>
        <w:rPr>
          <w:rFonts w:hint="eastAsia" w:ascii="宋体" w:hAnsi="宋体" w:cs="宋体"/>
          <w:highlight w:val="none"/>
          <w:lang w:val="en-US" w:eastAsia="zh-CN"/>
        </w:rPr>
        <w:t>2.413936</w:t>
      </w:r>
      <w:r>
        <w:rPr>
          <w:rFonts w:hint="default" w:ascii="宋体" w:hAnsi="宋体" w:cs="宋体"/>
          <w:highlight w:val="none"/>
          <w:lang w:val="en-US" w:eastAsia="zh-CN"/>
        </w:rPr>
        <w:t>元/股。</w:t>
      </w:r>
    </w:p>
    <w:p>
      <w:pPr>
        <w:pStyle w:val="6"/>
        <w:keepNext w:val="0"/>
        <w:keepLines w:val="0"/>
        <w:pageBreakBefore w:val="0"/>
        <w:widowControl w:val="0"/>
        <w:tabs>
          <w:tab w:val="left" w:pos="390"/>
        </w:tabs>
        <w:kinsoku/>
        <w:wordWrap/>
        <w:overflowPunct/>
        <w:topLinePunct w:val="0"/>
        <w:autoSpaceDE w:val="0"/>
        <w:autoSpaceDN w:val="0"/>
        <w:bidi w:val="0"/>
        <w:adjustRightInd w:val="0"/>
        <w:snapToGrid/>
        <w:spacing w:after="0" w:afterLines="0" w:line="440" w:lineRule="exact"/>
        <w:ind w:left="0" w:leftChars="0" w:right="0" w:rightChars="0" w:firstLine="482" w:firstLineChars="200"/>
        <w:jc w:val="both"/>
        <w:textAlignment w:val="auto"/>
        <w:outlineLvl w:val="9"/>
        <w:rPr>
          <w:rFonts w:ascii="宋体" w:hAnsi="宋体" w:cs="宋体"/>
          <w:b/>
          <w:bCs/>
          <w:sz w:val="24"/>
          <w:szCs w:val="24"/>
          <w:highlight w:val="none"/>
        </w:rPr>
      </w:pPr>
      <w:r>
        <w:rPr>
          <w:rFonts w:hint="eastAsia" w:ascii="宋体" w:hAnsi="宋体" w:cs="宋体"/>
          <w:b/>
          <w:bCs/>
          <w:sz w:val="24"/>
          <w:szCs w:val="24"/>
          <w:highlight w:val="none"/>
          <w:lang w:val="en-US" w:eastAsia="zh-CN"/>
        </w:rPr>
        <w:t>四</w:t>
      </w:r>
      <w:r>
        <w:rPr>
          <w:rFonts w:hint="eastAsia" w:ascii="宋体" w:hAnsi="宋体" w:cs="宋体"/>
          <w:b/>
          <w:bCs/>
          <w:sz w:val="24"/>
          <w:szCs w:val="24"/>
          <w:highlight w:val="none"/>
        </w:rPr>
        <w:t>、股权登记日与除权除息日</w:t>
      </w:r>
      <w:r>
        <w:rPr>
          <w:rFonts w:ascii="宋体" w:hAnsi="宋体" w:cs="宋体"/>
          <w:b/>
          <w:bCs/>
          <w:sz w:val="24"/>
          <w:szCs w:val="24"/>
          <w:highlight w:val="none"/>
        </w:rPr>
        <w:t xml:space="preserve"> </w:t>
      </w:r>
    </w:p>
    <w:p>
      <w:pPr>
        <w:pStyle w:val="6"/>
        <w:keepNext w:val="0"/>
        <w:keepLines w:val="0"/>
        <w:pageBreakBefore w:val="0"/>
        <w:widowControl w:val="0"/>
        <w:kinsoku/>
        <w:wordWrap/>
        <w:overflowPunct/>
        <w:topLinePunct w:val="0"/>
        <w:autoSpaceDE w:val="0"/>
        <w:autoSpaceDN w:val="0"/>
        <w:bidi w:val="0"/>
        <w:adjustRightInd w:val="0"/>
        <w:snapToGrid/>
        <w:spacing w:after="0" w:afterLines="0" w:line="440" w:lineRule="exact"/>
        <w:ind w:left="0" w:leftChars="0" w:right="0" w:rightChars="0" w:firstLine="480" w:firstLineChars="200"/>
        <w:jc w:val="both"/>
        <w:textAlignment w:val="auto"/>
        <w:outlineLvl w:val="9"/>
        <w:rPr>
          <w:rFonts w:ascii="宋体" w:hAnsi="宋体" w:cs="宋体"/>
          <w:highlight w:val="none"/>
        </w:rPr>
      </w:pPr>
      <w:r>
        <w:rPr>
          <w:rFonts w:hint="eastAsia" w:ascii="宋体" w:hAnsi="宋体" w:cs="宋体"/>
          <w:highlight w:val="none"/>
        </w:rPr>
        <w:t>本次权益分派股权登记日为：</w:t>
      </w:r>
      <w:r>
        <w:rPr>
          <w:rFonts w:hint="eastAsia" w:ascii="宋体" w:hAnsi="宋体"/>
          <w:highlight w:val="none"/>
          <w:lang w:val="en-US" w:eastAsia="zh-CN"/>
        </w:rPr>
        <w:t>2020</w:t>
      </w:r>
      <w:r>
        <w:rPr>
          <w:rFonts w:hint="eastAsia" w:ascii="宋体" w:hAnsi="宋体" w:cs="宋体"/>
          <w:highlight w:val="none"/>
        </w:rPr>
        <w:t>年</w:t>
      </w:r>
      <w:r>
        <w:rPr>
          <w:rFonts w:hint="eastAsia" w:ascii="宋体" w:hAnsi="宋体"/>
          <w:highlight w:val="none"/>
          <w:lang w:val="en-US" w:eastAsia="zh-CN"/>
        </w:rPr>
        <w:t>7</w:t>
      </w:r>
      <w:r>
        <w:rPr>
          <w:rFonts w:hint="eastAsia" w:ascii="宋体" w:hAnsi="宋体" w:cs="宋体"/>
          <w:highlight w:val="none"/>
        </w:rPr>
        <w:t>月</w:t>
      </w:r>
      <w:r>
        <w:rPr>
          <w:rFonts w:hint="eastAsia" w:ascii="宋体" w:hAnsi="宋体"/>
          <w:color w:val="auto"/>
          <w:highlight w:val="none"/>
          <w:lang w:val="en-US" w:eastAsia="zh-CN"/>
        </w:rPr>
        <w:t>6</w:t>
      </w:r>
      <w:r>
        <w:rPr>
          <w:rFonts w:hint="eastAsia" w:ascii="宋体" w:hAnsi="宋体" w:cs="宋体"/>
          <w:highlight w:val="none"/>
        </w:rPr>
        <w:t>日，除权除息日为：</w:t>
      </w:r>
      <w:r>
        <w:rPr>
          <w:rFonts w:hint="eastAsia" w:ascii="宋体" w:hAnsi="宋体" w:cs="宋体"/>
          <w:highlight w:val="none"/>
          <w:lang w:val="en-US" w:eastAsia="zh-CN"/>
        </w:rPr>
        <w:t>2020</w:t>
      </w:r>
      <w:r>
        <w:rPr>
          <w:rFonts w:hint="eastAsia" w:ascii="宋体" w:hAnsi="宋体" w:cs="宋体"/>
          <w:highlight w:val="none"/>
        </w:rPr>
        <w:t>年</w:t>
      </w:r>
      <w:r>
        <w:rPr>
          <w:rFonts w:hint="eastAsia" w:ascii="宋体" w:hAnsi="宋体"/>
          <w:highlight w:val="none"/>
          <w:lang w:val="en-US" w:eastAsia="zh-CN"/>
        </w:rPr>
        <w:t>7</w:t>
      </w:r>
      <w:r>
        <w:rPr>
          <w:rFonts w:hint="eastAsia" w:ascii="宋体" w:hAnsi="宋体" w:cs="宋体"/>
          <w:highlight w:val="none"/>
        </w:rPr>
        <w:t>月</w:t>
      </w:r>
      <w:r>
        <w:rPr>
          <w:rFonts w:hint="eastAsia" w:ascii="宋体" w:hAnsi="宋体" w:cs="宋体"/>
          <w:highlight w:val="none"/>
          <w:lang w:val="en-US" w:eastAsia="zh-CN"/>
        </w:rPr>
        <w:t>7</w:t>
      </w:r>
      <w:r>
        <w:rPr>
          <w:rFonts w:hint="eastAsia" w:ascii="宋体" w:hAnsi="宋体" w:cs="宋体"/>
          <w:highlight w:val="none"/>
        </w:rPr>
        <w:t>日。</w:t>
      </w:r>
      <w:r>
        <w:rPr>
          <w:rFonts w:ascii="宋体" w:hAnsi="宋体" w:cs="宋体"/>
          <w:highlight w:val="none"/>
        </w:rPr>
        <w:t xml:space="preserve"> </w:t>
      </w:r>
    </w:p>
    <w:p>
      <w:pPr>
        <w:pStyle w:val="6"/>
        <w:keepNext w:val="0"/>
        <w:keepLines w:val="0"/>
        <w:pageBreakBefore w:val="0"/>
        <w:widowControl w:val="0"/>
        <w:kinsoku/>
        <w:wordWrap/>
        <w:overflowPunct/>
        <w:topLinePunct w:val="0"/>
        <w:autoSpaceDE w:val="0"/>
        <w:autoSpaceDN w:val="0"/>
        <w:bidi w:val="0"/>
        <w:adjustRightInd w:val="0"/>
        <w:snapToGrid/>
        <w:spacing w:after="0" w:afterLines="0" w:line="440" w:lineRule="exact"/>
        <w:ind w:left="0" w:leftChars="0" w:right="0" w:rightChars="0" w:firstLine="482" w:firstLineChars="200"/>
        <w:jc w:val="both"/>
        <w:textAlignment w:val="auto"/>
        <w:outlineLvl w:val="9"/>
        <w:rPr>
          <w:rFonts w:ascii="宋体" w:hAnsi="宋体" w:cs="宋体"/>
          <w:highlight w:val="none"/>
        </w:rPr>
      </w:pPr>
      <w:r>
        <w:rPr>
          <w:rFonts w:hint="eastAsia" w:ascii="宋体" w:hAnsi="宋体" w:cs="宋体"/>
          <w:b/>
          <w:bCs/>
          <w:sz w:val="24"/>
          <w:szCs w:val="24"/>
          <w:highlight w:val="none"/>
          <w:lang w:val="en-US" w:eastAsia="zh-CN"/>
        </w:rPr>
        <w:t>五</w:t>
      </w:r>
      <w:r>
        <w:rPr>
          <w:rFonts w:hint="eastAsia" w:ascii="宋体" w:hAnsi="宋体" w:cs="宋体"/>
          <w:b/>
          <w:bCs/>
          <w:sz w:val="24"/>
          <w:szCs w:val="24"/>
          <w:highlight w:val="none"/>
        </w:rPr>
        <w:t>、权益分派对象</w:t>
      </w:r>
    </w:p>
    <w:p>
      <w:pPr>
        <w:pStyle w:val="6"/>
        <w:keepNext w:val="0"/>
        <w:keepLines w:val="0"/>
        <w:pageBreakBefore w:val="0"/>
        <w:widowControl w:val="0"/>
        <w:kinsoku/>
        <w:wordWrap/>
        <w:overflowPunct/>
        <w:topLinePunct w:val="0"/>
        <w:autoSpaceDE w:val="0"/>
        <w:autoSpaceDN w:val="0"/>
        <w:bidi w:val="0"/>
        <w:adjustRightInd w:val="0"/>
        <w:snapToGrid/>
        <w:spacing w:after="0" w:afterLines="0" w:line="440" w:lineRule="exact"/>
        <w:ind w:left="0" w:leftChars="0" w:right="0" w:rightChars="0" w:firstLine="480" w:firstLineChars="200"/>
        <w:jc w:val="both"/>
        <w:textAlignment w:val="auto"/>
        <w:outlineLvl w:val="9"/>
        <w:rPr>
          <w:rFonts w:ascii="宋体" w:hAnsi="宋体" w:cs="宋体"/>
          <w:highlight w:val="none"/>
        </w:rPr>
      </w:pPr>
      <w:r>
        <w:rPr>
          <w:rFonts w:hint="eastAsia" w:ascii="宋体" w:hAnsi="宋体" w:cs="宋体"/>
          <w:highlight w:val="none"/>
        </w:rPr>
        <w:t>本次分派对象为：截止</w:t>
      </w:r>
      <w:r>
        <w:rPr>
          <w:rFonts w:hint="eastAsia" w:ascii="宋体" w:hAnsi="宋体"/>
          <w:highlight w:val="none"/>
          <w:lang w:val="en-US" w:eastAsia="zh-CN"/>
        </w:rPr>
        <w:t>2020</w:t>
      </w:r>
      <w:r>
        <w:rPr>
          <w:rFonts w:hint="eastAsia" w:ascii="宋体" w:hAnsi="宋体" w:cs="宋体"/>
          <w:highlight w:val="none"/>
        </w:rPr>
        <w:t>年</w:t>
      </w:r>
      <w:r>
        <w:rPr>
          <w:rFonts w:hint="eastAsia" w:ascii="宋体" w:hAnsi="宋体"/>
          <w:highlight w:val="none"/>
          <w:lang w:val="en-US" w:eastAsia="zh-CN"/>
        </w:rPr>
        <w:t>7</w:t>
      </w:r>
      <w:r>
        <w:rPr>
          <w:rFonts w:hint="eastAsia" w:ascii="宋体" w:hAnsi="宋体" w:cs="宋体"/>
          <w:highlight w:val="none"/>
        </w:rPr>
        <w:t>月</w:t>
      </w:r>
      <w:r>
        <w:rPr>
          <w:rFonts w:hint="eastAsia" w:ascii="宋体" w:hAnsi="宋体"/>
          <w:color w:val="auto"/>
          <w:highlight w:val="none"/>
          <w:lang w:val="en-US" w:eastAsia="zh-CN"/>
        </w:rPr>
        <w:t>6</w:t>
      </w:r>
      <w:r>
        <w:rPr>
          <w:rFonts w:hint="eastAsia" w:ascii="宋体" w:hAnsi="宋体" w:cs="宋体"/>
          <w:highlight w:val="none"/>
        </w:rPr>
        <w:t>日下午深圳证券交易所收市后，在中国证券登记结算有限责任公司深圳分公司（以下简称</w:t>
      </w:r>
      <w:r>
        <w:rPr>
          <w:rFonts w:ascii="宋体" w:hAnsi="宋体" w:cs="宋体"/>
          <w:highlight w:val="none"/>
        </w:rPr>
        <w:t>“</w:t>
      </w:r>
      <w:r>
        <w:rPr>
          <w:rFonts w:hint="eastAsia" w:ascii="宋体" w:hAnsi="宋体" w:cs="宋体"/>
          <w:highlight w:val="none"/>
        </w:rPr>
        <w:t>中国结算深圳分公司</w:t>
      </w:r>
      <w:r>
        <w:rPr>
          <w:rFonts w:ascii="宋体" w:hAnsi="宋体" w:cs="宋体"/>
          <w:highlight w:val="none"/>
        </w:rPr>
        <w:t>”</w:t>
      </w:r>
      <w:r>
        <w:rPr>
          <w:rFonts w:hint="eastAsia" w:ascii="宋体" w:hAnsi="宋体" w:cs="宋体"/>
          <w:highlight w:val="none"/>
        </w:rPr>
        <w:t>）登记在册的本公司全体股东。</w:t>
      </w:r>
      <w:r>
        <w:rPr>
          <w:rFonts w:ascii="宋体" w:hAnsi="宋体" w:cs="宋体"/>
          <w:highlight w:val="none"/>
        </w:rPr>
        <w:t xml:space="preserve"> </w:t>
      </w:r>
    </w:p>
    <w:p>
      <w:pPr>
        <w:pStyle w:val="6"/>
        <w:keepNext w:val="0"/>
        <w:keepLines w:val="0"/>
        <w:pageBreakBefore w:val="0"/>
        <w:widowControl w:val="0"/>
        <w:kinsoku/>
        <w:wordWrap/>
        <w:overflowPunct/>
        <w:topLinePunct w:val="0"/>
        <w:autoSpaceDE w:val="0"/>
        <w:autoSpaceDN w:val="0"/>
        <w:bidi w:val="0"/>
        <w:adjustRightInd w:val="0"/>
        <w:snapToGrid/>
        <w:spacing w:after="0" w:afterLines="0" w:line="440" w:lineRule="exact"/>
        <w:ind w:left="0" w:leftChars="0" w:right="0" w:rightChars="0" w:firstLine="482" w:firstLineChars="200"/>
        <w:jc w:val="both"/>
        <w:textAlignment w:val="auto"/>
        <w:outlineLvl w:val="9"/>
        <w:rPr>
          <w:rFonts w:hint="eastAsia" w:ascii="宋体" w:hAnsi="宋体"/>
          <w:highlight w:val="none"/>
        </w:rPr>
      </w:pPr>
      <w:r>
        <w:rPr>
          <w:rFonts w:hint="eastAsia" w:ascii="宋体" w:hAnsi="宋体" w:cs="宋体"/>
          <w:b/>
          <w:bCs/>
          <w:sz w:val="24"/>
          <w:szCs w:val="24"/>
          <w:highlight w:val="none"/>
          <w:lang w:val="en-US" w:eastAsia="zh-CN"/>
        </w:rPr>
        <w:t>六</w:t>
      </w:r>
      <w:r>
        <w:rPr>
          <w:rFonts w:hint="eastAsia" w:ascii="宋体" w:hAnsi="宋体" w:cs="宋体"/>
          <w:b/>
          <w:bCs/>
          <w:sz w:val="24"/>
          <w:szCs w:val="24"/>
          <w:highlight w:val="none"/>
        </w:rPr>
        <w:t>、权益分派</w:t>
      </w:r>
      <w:r>
        <w:rPr>
          <w:rFonts w:hint="eastAsia" w:ascii="宋体" w:hAnsi="宋体" w:cs="宋体"/>
          <w:b/>
          <w:bCs/>
          <w:sz w:val="24"/>
          <w:szCs w:val="24"/>
          <w:highlight w:val="none"/>
          <w:lang w:eastAsia="zh-CN"/>
        </w:rPr>
        <w:t>实施</w:t>
      </w:r>
      <w:r>
        <w:rPr>
          <w:rFonts w:hint="eastAsia" w:ascii="宋体" w:hAnsi="宋体" w:cs="宋体"/>
          <w:b/>
          <w:bCs/>
          <w:sz w:val="24"/>
          <w:szCs w:val="24"/>
          <w:highlight w:val="none"/>
        </w:rPr>
        <w:t>方法</w:t>
      </w:r>
      <w:r>
        <w:rPr>
          <w:rFonts w:ascii="宋体" w:hAnsi="宋体" w:cs="宋体"/>
          <w:highlight w:val="none"/>
        </w:rPr>
        <w:t xml:space="preserve"> </w:t>
      </w:r>
    </w:p>
    <w:p>
      <w:pPr>
        <w:pStyle w:val="6"/>
        <w:keepNext w:val="0"/>
        <w:keepLines w:val="0"/>
        <w:pageBreakBefore w:val="0"/>
        <w:widowControl w:val="0"/>
        <w:kinsoku/>
        <w:wordWrap/>
        <w:overflowPunct/>
        <w:topLinePunct w:val="0"/>
        <w:autoSpaceDE w:val="0"/>
        <w:autoSpaceDN w:val="0"/>
        <w:bidi w:val="0"/>
        <w:adjustRightInd w:val="0"/>
        <w:snapToGrid/>
        <w:spacing w:after="0" w:afterLines="0" w:line="440" w:lineRule="exact"/>
        <w:ind w:left="0" w:leftChars="0" w:right="0" w:rightChars="0" w:firstLine="480" w:firstLineChars="200"/>
        <w:jc w:val="both"/>
        <w:textAlignment w:val="auto"/>
        <w:outlineLvl w:val="9"/>
        <w:rPr>
          <w:rFonts w:hint="eastAsia" w:ascii="宋体" w:hAnsi="宋体" w:cs="宋体"/>
          <w:highlight w:val="none"/>
        </w:rPr>
      </w:pPr>
      <w:r>
        <w:rPr>
          <w:rFonts w:hint="eastAsia" w:ascii="宋体" w:hAnsi="宋体"/>
          <w:highlight w:val="none"/>
          <w:lang w:val="en-US" w:eastAsia="zh-CN"/>
        </w:rPr>
        <w:t>1</w:t>
      </w:r>
      <w:r>
        <w:rPr>
          <w:rFonts w:hint="eastAsia" w:ascii="宋体" w:hAnsi="宋体" w:cs="宋体"/>
          <w:highlight w:val="none"/>
        </w:rPr>
        <w:t>、本公司此次委托中国结算深圳分公司代派的</w:t>
      </w:r>
      <w:r>
        <w:rPr>
          <w:rFonts w:hint="eastAsia" w:ascii="宋体" w:hAnsi="宋体" w:cs="宋体"/>
          <w:highlight w:val="none"/>
          <w:lang w:val="en-US" w:eastAsia="zh-CN"/>
        </w:rPr>
        <w:t>A股股东</w:t>
      </w:r>
      <w:r>
        <w:rPr>
          <w:rFonts w:hint="eastAsia" w:ascii="宋体" w:hAnsi="宋体" w:cs="宋体"/>
          <w:highlight w:val="none"/>
        </w:rPr>
        <w:t>现金红利将于</w:t>
      </w:r>
      <w:r>
        <w:rPr>
          <w:rFonts w:hint="eastAsia" w:ascii="宋体" w:hAnsi="宋体" w:cs="宋体"/>
          <w:highlight w:val="none"/>
          <w:lang w:val="en-US" w:eastAsia="zh-CN"/>
        </w:rPr>
        <w:t>2020</w:t>
      </w:r>
      <w:r>
        <w:rPr>
          <w:rFonts w:hint="eastAsia" w:ascii="宋体" w:hAnsi="宋体" w:cs="宋体"/>
          <w:highlight w:val="none"/>
        </w:rPr>
        <w:t>年</w:t>
      </w:r>
      <w:r>
        <w:rPr>
          <w:rFonts w:hint="eastAsia" w:ascii="宋体" w:hAnsi="宋体"/>
          <w:highlight w:val="none"/>
          <w:lang w:val="en-US" w:eastAsia="zh-CN"/>
        </w:rPr>
        <w:t>7</w:t>
      </w:r>
      <w:r>
        <w:rPr>
          <w:rFonts w:hint="eastAsia" w:ascii="宋体" w:hAnsi="宋体" w:cs="宋体"/>
          <w:highlight w:val="none"/>
        </w:rPr>
        <w:t>月</w:t>
      </w:r>
      <w:r>
        <w:rPr>
          <w:rFonts w:hint="eastAsia" w:ascii="宋体" w:hAnsi="宋体" w:cs="宋体"/>
          <w:highlight w:val="none"/>
          <w:lang w:val="en-US" w:eastAsia="zh-CN"/>
        </w:rPr>
        <w:t>7</w:t>
      </w:r>
      <w:r>
        <w:rPr>
          <w:rFonts w:hint="eastAsia" w:ascii="宋体" w:hAnsi="宋体" w:cs="宋体"/>
          <w:highlight w:val="none"/>
        </w:rPr>
        <w:t>日日通过股东托管证券公司（或其他托管机构）直接划入其资金账户。</w:t>
      </w:r>
      <w:r>
        <w:rPr>
          <w:rFonts w:ascii="宋体" w:hAnsi="宋体" w:cs="宋体"/>
          <w:highlight w:val="none"/>
        </w:rPr>
        <w:t xml:space="preserve"> </w:t>
      </w:r>
    </w:p>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left="0" w:leftChars="0" w:right="0" w:rightChars="0" w:firstLine="480" w:firstLineChars="200"/>
        <w:jc w:val="both"/>
        <w:textAlignment w:val="auto"/>
        <w:outlineLvl w:val="9"/>
        <w:rPr>
          <w:rFonts w:hint="eastAsia" w:ascii="宋体" w:hAnsi="宋体"/>
          <w:highlight w:val="none"/>
          <w:lang w:val="en-US" w:eastAsia="zh-CN"/>
        </w:rPr>
      </w:pPr>
      <w:r>
        <w:rPr>
          <w:rFonts w:hint="eastAsia" w:ascii="宋体" w:hAnsi="宋体"/>
          <w:highlight w:val="none"/>
          <w:lang w:val="en-US" w:eastAsia="zh-CN"/>
        </w:rPr>
        <w:t>2、以下A股股东的现金红利由本公司自行派发：</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04"/>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eastAsia" w:ascii="宋体" w:hAnsi="宋体"/>
                <w:highlight w:val="none"/>
                <w:vertAlign w:val="baseline"/>
                <w:lang w:val="en-US" w:eastAsia="zh-CN"/>
              </w:rPr>
            </w:pPr>
            <w:r>
              <w:rPr>
                <w:rFonts w:hint="eastAsia" w:ascii="宋体" w:hAnsi="宋体"/>
                <w:highlight w:val="none"/>
                <w:lang w:val="en-US" w:eastAsia="zh-CN"/>
              </w:rPr>
              <w:t>序号</w:t>
            </w:r>
          </w:p>
        </w:tc>
        <w:tc>
          <w:tcPr>
            <w:tcW w:w="2004"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eastAsia" w:ascii="宋体" w:hAnsi="宋体"/>
                <w:highlight w:val="none"/>
                <w:vertAlign w:val="baseline"/>
                <w:lang w:val="en-US" w:eastAsia="zh-CN"/>
              </w:rPr>
            </w:pPr>
            <w:r>
              <w:rPr>
                <w:rFonts w:hint="eastAsia" w:ascii="宋体" w:hAnsi="宋体"/>
                <w:highlight w:val="none"/>
                <w:vertAlign w:val="baseline"/>
                <w:lang w:val="en-US" w:eastAsia="zh-CN"/>
              </w:rPr>
              <w:t>股东账号</w:t>
            </w:r>
          </w:p>
        </w:tc>
        <w:tc>
          <w:tcPr>
            <w:tcW w:w="6096"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eastAsia" w:ascii="宋体" w:hAnsi="宋体"/>
                <w:highlight w:val="none"/>
                <w:vertAlign w:val="baseline"/>
                <w:lang w:val="en-US" w:eastAsia="zh-CN"/>
              </w:rPr>
            </w:pPr>
            <w:r>
              <w:rPr>
                <w:rFonts w:hint="eastAsia" w:ascii="宋体" w:hAnsi="宋体"/>
                <w:highlight w:val="none"/>
                <w:vertAlign w:val="baseline"/>
                <w:lang w:val="en-US" w:eastAsia="zh-CN"/>
              </w:rPr>
              <w:t>股东名称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eastAsia" w:ascii="宋体" w:hAnsi="宋体"/>
                <w:highlight w:val="none"/>
                <w:vertAlign w:val="baseline"/>
                <w:lang w:val="en-US" w:eastAsia="zh-CN"/>
              </w:rPr>
            </w:pPr>
            <w:r>
              <w:rPr>
                <w:rFonts w:hint="eastAsia" w:ascii="宋体" w:hAnsi="宋体"/>
                <w:highlight w:val="none"/>
                <w:vertAlign w:val="baseline"/>
                <w:lang w:val="en-US" w:eastAsia="zh-CN"/>
              </w:rPr>
              <w:t>1</w:t>
            </w:r>
          </w:p>
        </w:tc>
        <w:tc>
          <w:tcPr>
            <w:tcW w:w="2004"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eastAsia" w:ascii="宋体" w:hAnsi="宋体"/>
                <w:highlight w:val="none"/>
                <w:vertAlign w:val="baseline"/>
                <w:lang w:val="en-US" w:eastAsia="zh-CN"/>
              </w:rPr>
            </w:pPr>
            <w:r>
              <w:rPr>
                <w:rFonts w:hint="eastAsia" w:ascii="宋体" w:hAnsi="宋体"/>
                <w:highlight w:val="none"/>
                <w:vertAlign w:val="baseline"/>
                <w:lang w:val="en-US" w:eastAsia="zh-CN"/>
              </w:rPr>
              <w:t>08*****223</w:t>
            </w:r>
          </w:p>
        </w:tc>
        <w:tc>
          <w:tcPr>
            <w:tcW w:w="6096"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eastAsia" w:ascii="宋体" w:hAnsi="宋体"/>
                <w:highlight w:val="none"/>
                <w:vertAlign w:val="baseline"/>
                <w:lang w:val="en-US" w:eastAsia="zh-CN"/>
              </w:rPr>
            </w:pPr>
            <w:r>
              <w:rPr>
                <w:rFonts w:hint="eastAsia" w:ascii="宋体" w:hAnsi="宋体"/>
                <w:highlight w:val="none"/>
                <w:vertAlign w:val="baseline"/>
                <w:lang w:val="en-US" w:eastAsia="zh-CN"/>
              </w:rPr>
              <w:t>德华集团控股股份有限公司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eastAsia" w:ascii="宋体" w:hAnsi="宋体"/>
                <w:highlight w:val="none"/>
                <w:vertAlign w:val="baseline"/>
                <w:lang w:val="en-US" w:eastAsia="zh-CN"/>
              </w:rPr>
            </w:pPr>
            <w:r>
              <w:rPr>
                <w:rFonts w:hint="eastAsia" w:ascii="宋体" w:hAnsi="宋体"/>
                <w:highlight w:val="none"/>
                <w:vertAlign w:val="baseline"/>
                <w:lang w:val="en-US" w:eastAsia="zh-CN"/>
              </w:rPr>
              <w:t>2</w:t>
            </w:r>
          </w:p>
        </w:tc>
        <w:tc>
          <w:tcPr>
            <w:tcW w:w="2004"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eastAsia" w:ascii="宋体" w:hAnsi="宋体"/>
                <w:highlight w:val="none"/>
                <w:vertAlign w:val="baseline"/>
                <w:lang w:val="en-US" w:eastAsia="zh-CN"/>
              </w:rPr>
            </w:pPr>
            <w:r>
              <w:rPr>
                <w:rFonts w:hint="eastAsia" w:ascii="宋体" w:hAnsi="宋体"/>
                <w:highlight w:val="none"/>
                <w:vertAlign w:val="baseline"/>
                <w:lang w:val="en-US" w:eastAsia="zh-CN"/>
              </w:rPr>
              <w:t>08*****598</w:t>
            </w:r>
          </w:p>
        </w:tc>
        <w:tc>
          <w:tcPr>
            <w:tcW w:w="6096"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eastAsia" w:ascii="宋体" w:hAnsi="宋体"/>
                <w:highlight w:val="none"/>
                <w:vertAlign w:val="baseline"/>
                <w:lang w:val="en-US" w:eastAsia="zh-CN"/>
              </w:rPr>
            </w:pPr>
            <w:r>
              <w:rPr>
                <w:rFonts w:hint="eastAsia" w:ascii="宋体" w:hAnsi="宋体"/>
                <w:highlight w:val="none"/>
                <w:vertAlign w:val="baseline"/>
                <w:lang w:val="en-US" w:eastAsia="zh-CN"/>
              </w:rPr>
              <w:t>德华创业投资有限公司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eastAsia" w:ascii="宋体" w:hAnsi="宋体"/>
                <w:highlight w:val="none"/>
                <w:vertAlign w:val="baseline"/>
                <w:lang w:val="en-US" w:eastAsia="zh-CN"/>
              </w:rPr>
            </w:pPr>
            <w:r>
              <w:rPr>
                <w:rFonts w:hint="eastAsia" w:ascii="宋体" w:hAnsi="宋体"/>
                <w:highlight w:val="none"/>
                <w:vertAlign w:val="baseline"/>
                <w:lang w:val="en-US" w:eastAsia="zh-CN"/>
              </w:rPr>
              <w:t>3</w:t>
            </w:r>
          </w:p>
        </w:tc>
        <w:tc>
          <w:tcPr>
            <w:tcW w:w="2004"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eastAsia" w:ascii="宋体" w:hAnsi="宋体"/>
                <w:highlight w:val="none"/>
                <w:vertAlign w:val="baseline"/>
                <w:lang w:val="en-US" w:eastAsia="zh-CN"/>
              </w:rPr>
            </w:pPr>
            <w:r>
              <w:rPr>
                <w:rFonts w:hint="eastAsia" w:ascii="宋体" w:hAnsi="宋体"/>
                <w:highlight w:val="none"/>
                <w:vertAlign w:val="baseline"/>
                <w:lang w:val="en-US" w:eastAsia="zh-CN"/>
              </w:rPr>
              <w:t>01*****844</w:t>
            </w:r>
          </w:p>
        </w:tc>
        <w:tc>
          <w:tcPr>
            <w:tcW w:w="6096"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eastAsia" w:ascii="宋体" w:hAnsi="宋体"/>
                <w:highlight w:val="none"/>
                <w:vertAlign w:val="baseline"/>
                <w:lang w:val="en-US" w:eastAsia="zh-CN"/>
              </w:rPr>
            </w:pPr>
            <w:r>
              <w:rPr>
                <w:rFonts w:hint="eastAsia" w:ascii="宋体" w:hAnsi="宋体"/>
                <w:highlight w:val="none"/>
                <w:vertAlign w:val="baseline"/>
                <w:lang w:val="en-US" w:eastAsia="zh-CN"/>
              </w:rPr>
              <w:t>丁鸿敏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default" w:ascii="宋体" w:hAnsi="宋体"/>
                <w:highlight w:val="none"/>
                <w:vertAlign w:val="baseline"/>
                <w:lang w:val="en-US" w:eastAsia="zh-CN"/>
              </w:rPr>
            </w:pPr>
            <w:r>
              <w:rPr>
                <w:rFonts w:hint="eastAsia" w:ascii="宋体" w:hAnsi="宋体"/>
                <w:highlight w:val="none"/>
                <w:vertAlign w:val="baseline"/>
                <w:lang w:val="en-US" w:eastAsia="zh-CN"/>
              </w:rPr>
              <w:t>4</w:t>
            </w:r>
          </w:p>
        </w:tc>
        <w:tc>
          <w:tcPr>
            <w:tcW w:w="2004"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eastAsia" w:ascii="宋体" w:hAnsi="宋体"/>
                <w:highlight w:val="none"/>
                <w:vertAlign w:val="baseline"/>
                <w:lang w:val="en-US" w:eastAsia="zh-CN"/>
              </w:rPr>
            </w:pPr>
            <w:r>
              <w:rPr>
                <w:rFonts w:hint="eastAsia" w:ascii="宋体" w:hAnsi="宋体"/>
                <w:highlight w:val="none"/>
                <w:vertAlign w:val="baseline"/>
                <w:lang w:val="en-US" w:eastAsia="zh-CN"/>
              </w:rPr>
              <w:t>02*****584</w:t>
            </w:r>
          </w:p>
        </w:tc>
        <w:tc>
          <w:tcPr>
            <w:tcW w:w="6096"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default" w:ascii="宋体" w:hAnsi="宋体"/>
                <w:highlight w:val="none"/>
                <w:vertAlign w:val="baseline"/>
                <w:lang w:val="en-US" w:eastAsia="zh-CN"/>
              </w:rPr>
            </w:pPr>
            <w:r>
              <w:rPr>
                <w:rFonts w:hint="eastAsia" w:ascii="宋体" w:hAnsi="宋体"/>
                <w:highlight w:val="none"/>
                <w:vertAlign w:val="baseline"/>
                <w:lang w:val="en-US" w:eastAsia="zh-CN"/>
              </w:rPr>
              <w:t>漆勇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default" w:ascii="宋体" w:hAnsi="宋体"/>
                <w:highlight w:val="none"/>
                <w:vertAlign w:val="baseline"/>
                <w:lang w:val="en-US" w:eastAsia="zh-CN"/>
              </w:rPr>
            </w:pPr>
            <w:r>
              <w:rPr>
                <w:rFonts w:hint="eastAsia" w:ascii="宋体" w:hAnsi="宋体"/>
                <w:highlight w:val="none"/>
                <w:vertAlign w:val="baseline"/>
                <w:lang w:val="en-US" w:eastAsia="zh-CN"/>
              </w:rPr>
              <w:t>5</w:t>
            </w:r>
          </w:p>
        </w:tc>
        <w:tc>
          <w:tcPr>
            <w:tcW w:w="2004"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eastAsia" w:ascii="宋体" w:hAnsi="宋体"/>
                <w:highlight w:val="none"/>
                <w:vertAlign w:val="baseline"/>
                <w:lang w:val="en-US" w:eastAsia="zh-CN"/>
              </w:rPr>
            </w:pPr>
            <w:r>
              <w:rPr>
                <w:rFonts w:hint="eastAsia" w:ascii="宋体" w:hAnsi="宋体"/>
                <w:highlight w:val="none"/>
                <w:vertAlign w:val="baseline"/>
                <w:lang w:val="en-US" w:eastAsia="zh-CN"/>
              </w:rPr>
              <w:t>02*****026</w:t>
            </w:r>
          </w:p>
        </w:tc>
        <w:tc>
          <w:tcPr>
            <w:tcW w:w="6096" w:type="dxa"/>
            <w:noWrap w:val="0"/>
            <w:vAlign w:val="top"/>
          </w:tcPr>
          <w:p>
            <w:pPr>
              <w:pStyle w:val="6"/>
              <w:keepNext w:val="0"/>
              <w:keepLines w:val="0"/>
              <w:pageBreakBefore w:val="0"/>
              <w:widowControl w:val="0"/>
              <w:kinsoku/>
              <w:wordWrap/>
              <w:overflowPunct/>
              <w:topLinePunct w:val="0"/>
              <w:autoSpaceDE w:val="0"/>
              <w:autoSpaceDN w:val="0"/>
              <w:bidi w:val="0"/>
              <w:adjustRightInd w:val="0"/>
              <w:snapToGrid/>
              <w:spacing w:afterAutospacing="0" w:line="440" w:lineRule="exact"/>
              <w:ind w:right="0" w:rightChars="0"/>
              <w:jc w:val="both"/>
              <w:textAlignment w:val="auto"/>
              <w:outlineLvl w:val="9"/>
              <w:rPr>
                <w:rFonts w:hint="default" w:ascii="宋体" w:hAnsi="宋体"/>
                <w:highlight w:val="none"/>
                <w:vertAlign w:val="baseline"/>
                <w:lang w:val="en-US" w:eastAsia="zh-CN"/>
              </w:rPr>
            </w:pPr>
            <w:r>
              <w:rPr>
                <w:rFonts w:hint="eastAsia" w:ascii="宋体" w:hAnsi="宋体"/>
                <w:highlight w:val="none"/>
                <w:vertAlign w:val="baseline"/>
                <w:lang w:val="en-US" w:eastAsia="zh-CN"/>
              </w:rPr>
              <w:t>赵越刚</w:t>
            </w:r>
          </w:p>
        </w:tc>
      </w:tr>
    </w:tbl>
    <w:p>
      <w:pPr>
        <w:pStyle w:val="6"/>
        <w:keepNext w:val="0"/>
        <w:keepLines w:val="0"/>
        <w:pageBreakBefore w:val="0"/>
        <w:widowControl w:val="0"/>
        <w:kinsoku/>
        <w:wordWrap/>
        <w:overflowPunct/>
        <w:topLinePunct w:val="0"/>
        <w:autoSpaceDE w:val="0"/>
        <w:autoSpaceDN w:val="0"/>
        <w:bidi w:val="0"/>
        <w:adjustRightInd w:val="0"/>
        <w:snapToGrid/>
        <w:spacing w:beforeAutospacing="0" w:afterAutospacing="0" w:line="440" w:lineRule="exact"/>
        <w:ind w:left="0" w:leftChars="0" w:right="0" w:rightChars="0" w:firstLine="480" w:firstLineChars="200"/>
        <w:jc w:val="both"/>
        <w:textAlignment w:val="auto"/>
        <w:outlineLvl w:val="9"/>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在权益分派业务申请期间（申请日2020年6月23日至登记日2020年7月6日），如因自派股东证券账户内股份减少而导致委托中国结算深圳分公司代派的现金红利不足的，一切法律责任与后果由我公司自行承担。</w:t>
      </w:r>
    </w:p>
    <w:p>
      <w:pPr>
        <w:keepNext w:val="0"/>
        <w:keepLines w:val="0"/>
        <w:pageBreakBefore w:val="0"/>
        <w:widowControl w:val="0"/>
        <w:kinsoku/>
        <w:wordWrap/>
        <w:overflowPunct/>
        <w:topLinePunct w:val="0"/>
        <w:autoSpaceDE w:val="0"/>
        <w:autoSpaceDN w:val="0"/>
        <w:bidi w:val="0"/>
        <w:adjustRightInd w:val="0"/>
        <w:snapToGrid/>
        <w:spacing w:beforeAutospacing="0" w:line="440" w:lineRule="exact"/>
        <w:ind w:left="0" w:leftChars="0" w:right="0" w:rightChars="0" w:firstLine="480" w:firstLineChars="0"/>
        <w:jc w:val="both"/>
        <w:textAlignment w:val="auto"/>
        <w:outlineLvl w:val="9"/>
        <w:rPr>
          <w:rFonts w:hint="eastAsia" w:ascii="宋体" w:hAnsi="宋体" w:cs="宋体"/>
          <w:b/>
          <w:bCs/>
          <w:color w:val="000000"/>
          <w:kern w:val="0"/>
          <w:sz w:val="24"/>
          <w:szCs w:val="24"/>
          <w:highlight w:val="none"/>
          <w:lang w:val="en-US" w:eastAsia="zh-CN"/>
        </w:rPr>
      </w:pPr>
      <w:r>
        <w:rPr>
          <w:rFonts w:hint="eastAsia" w:ascii="宋体" w:hAnsi="宋体" w:cs="宋体"/>
          <w:b/>
          <w:bCs/>
          <w:color w:val="000000"/>
          <w:kern w:val="0"/>
          <w:sz w:val="24"/>
          <w:szCs w:val="24"/>
          <w:highlight w:val="none"/>
          <w:lang w:val="en-US" w:eastAsia="zh-CN"/>
        </w:rPr>
        <w:t>七、本次权益分派不涉及股本结构的变动。</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rightChars="0" w:firstLine="482" w:firstLineChars="200"/>
        <w:jc w:val="both"/>
        <w:textAlignment w:val="auto"/>
        <w:outlineLvl w:val="9"/>
        <w:rPr>
          <w:rFonts w:hint="eastAsia" w:ascii="宋体" w:hAnsi="宋体" w:cs="宋体"/>
          <w:b/>
          <w:bCs/>
          <w:color w:val="000000"/>
          <w:kern w:val="0"/>
          <w:sz w:val="24"/>
          <w:szCs w:val="24"/>
          <w:highlight w:val="none"/>
        </w:rPr>
      </w:pPr>
      <w:r>
        <w:rPr>
          <w:rFonts w:hint="eastAsia" w:ascii="宋体" w:hAnsi="宋体" w:cs="宋体"/>
          <w:b/>
          <w:bCs/>
          <w:color w:val="000000"/>
          <w:kern w:val="0"/>
          <w:sz w:val="24"/>
          <w:szCs w:val="24"/>
          <w:highlight w:val="none"/>
          <w:lang w:val="en-US" w:eastAsia="zh-CN"/>
        </w:rPr>
        <w:t>八</w:t>
      </w:r>
      <w:r>
        <w:rPr>
          <w:rFonts w:hint="eastAsia" w:ascii="宋体" w:hAnsi="宋体" w:cs="宋体"/>
          <w:b/>
          <w:bCs/>
          <w:color w:val="000000"/>
          <w:kern w:val="0"/>
          <w:sz w:val="24"/>
          <w:szCs w:val="24"/>
          <w:highlight w:val="none"/>
        </w:rPr>
        <w:t>、咨询</w:t>
      </w:r>
      <w:r>
        <w:rPr>
          <w:rFonts w:hint="eastAsia" w:ascii="宋体" w:hAnsi="宋体" w:cs="宋体"/>
          <w:b/>
          <w:bCs/>
          <w:color w:val="000000"/>
          <w:kern w:val="0"/>
          <w:sz w:val="24"/>
          <w:szCs w:val="24"/>
          <w:highlight w:val="none"/>
          <w:lang w:eastAsia="zh-CN"/>
        </w:rPr>
        <w:t>办法</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rightChars="0" w:firstLine="480" w:firstLineChars="200"/>
        <w:jc w:val="both"/>
        <w:textAlignment w:val="auto"/>
        <w:outlineLvl w:val="9"/>
        <w:rPr>
          <w:rFonts w:hint="eastAsia" w:ascii="宋体" w:hAnsi="宋体" w:cs="宋体"/>
          <w:color w:val="000000"/>
          <w:kern w:val="0"/>
          <w:sz w:val="24"/>
          <w:highlight w:val="none"/>
        </w:rPr>
      </w:pPr>
      <w:r>
        <w:rPr>
          <w:rFonts w:hint="eastAsia" w:ascii="宋体" w:hAnsi="宋体" w:cs="宋体"/>
          <w:color w:val="000000"/>
          <w:kern w:val="0"/>
          <w:sz w:val="24"/>
          <w:highlight w:val="none"/>
        </w:rPr>
        <w:t>咨询机构：德华兔宝宝装饰新材股份有限公司证券部</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rightChars="0" w:firstLine="480" w:firstLineChars="200"/>
        <w:jc w:val="both"/>
        <w:textAlignment w:val="auto"/>
        <w:outlineLvl w:val="9"/>
        <w:rPr>
          <w:rFonts w:ascii="宋体" w:hAnsi="宋体" w:cs="宋体"/>
          <w:color w:val="000000"/>
          <w:kern w:val="0"/>
          <w:sz w:val="24"/>
          <w:highlight w:val="none"/>
        </w:rPr>
      </w:pPr>
      <w:r>
        <w:rPr>
          <w:rFonts w:hint="eastAsia" w:ascii="宋体" w:hAnsi="宋体" w:cs="宋体"/>
          <w:color w:val="000000"/>
          <w:kern w:val="0"/>
          <w:sz w:val="24"/>
          <w:highlight w:val="none"/>
        </w:rPr>
        <w:t>咨询地址：浙江省</w:t>
      </w:r>
      <w:r>
        <w:rPr>
          <w:rFonts w:hint="eastAsia" w:ascii="宋体" w:hAnsi="宋体" w:cs="宋体"/>
          <w:color w:val="000000"/>
          <w:kern w:val="0"/>
          <w:sz w:val="24"/>
          <w:highlight w:val="none"/>
          <w:lang w:val="en-US" w:eastAsia="zh-CN"/>
        </w:rPr>
        <w:t>湖州市</w:t>
      </w:r>
      <w:r>
        <w:rPr>
          <w:rFonts w:hint="eastAsia" w:ascii="宋体" w:hAnsi="宋体" w:cs="宋体"/>
          <w:color w:val="000000"/>
          <w:kern w:val="0"/>
          <w:sz w:val="24"/>
          <w:highlight w:val="none"/>
        </w:rPr>
        <w:t>德清县</w:t>
      </w:r>
      <w:r>
        <w:rPr>
          <w:rFonts w:hint="eastAsia" w:ascii="宋体" w:hAnsi="宋体" w:cs="宋体"/>
          <w:color w:val="000000"/>
          <w:kern w:val="0"/>
          <w:sz w:val="24"/>
          <w:highlight w:val="none"/>
          <w:lang w:val="en-US" w:eastAsia="zh-CN"/>
        </w:rPr>
        <w:t>阜溪街道</w:t>
      </w:r>
      <w:r>
        <w:rPr>
          <w:rFonts w:hint="eastAsia" w:ascii="宋体" w:hAnsi="宋体" w:cs="宋体"/>
          <w:color w:val="000000"/>
          <w:kern w:val="0"/>
          <w:sz w:val="24"/>
          <w:highlight w:val="none"/>
        </w:rPr>
        <w:t>临溪街588号</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rightChars="0" w:firstLine="480" w:firstLineChars="200"/>
        <w:jc w:val="both"/>
        <w:textAlignment w:val="auto"/>
        <w:outlineLvl w:val="9"/>
        <w:rPr>
          <w:rFonts w:ascii="宋体" w:hAnsi="宋体" w:cs="宋体"/>
          <w:color w:val="000000"/>
          <w:kern w:val="0"/>
          <w:sz w:val="24"/>
          <w:highlight w:val="none"/>
        </w:rPr>
      </w:pPr>
      <w:r>
        <w:rPr>
          <w:rFonts w:hint="eastAsia" w:ascii="宋体" w:hAnsi="宋体" w:cs="宋体"/>
          <w:color w:val="000000"/>
          <w:kern w:val="0"/>
          <w:sz w:val="24"/>
          <w:highlight w:val="none"/>
        </w:rPr>
        <w:t>咨询联系人：</w:t>
      </w:r>
      <w:r>
        <w:rPr>
          <w:rFonts w:hint="eastAsia" w:ascii="宋体" w:hAnsi="宋体" w:cs="宋体"/>
          <w:color w:val="000000"/>
          <w:kern w:val="0"/>
          <w:sz w:val="24"/>
          <w:highlight w:val="none"/>
          <w:lang w:eastAsia="zh-CN"/>
        </w:rPr>
        <w:t>朱丹莎</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rightChars="0" w:firstLine="480" w:firstLineChars="200"/>
        <w:jc w:val="both"/>
        <w:textAlignment w:val="auto"/>
        <w:outlineLvl w:val="9"/>
        <w:rPr>
          <w:rFonts w:ascii="宋体" w:hAnsi="宋体"/>
          <w:color w:val="000000"/>
          <w:kern w:val="0"/>
          <w:sz w:val="24"/>
          <w:highlight w:val="none"/>
        </w:rPr>
      </w:pPr>
      <w:r>
        <w:rPr>
          <w:rFonts w:hint="eastAsia" w:ascii="宋体" w:hAnsi="宋体" w:cs="宋体"/>
          <w:color w:val="000000"/>
          <w:kern w:val="0"/>
          <w:sz w:val="24"/>
          <w:highlight w:val="none"/>
        </w:rPr>
        <w:t>咨询电话：</w:t>
      </w:r>
      <w:r>
        <w:rPr>
          <w:rFonts w:ascii="宋体" w:hAnsi="宋体"/>
          <w:color w:val="000000"/>
          <w:kern w:val="0"/>
          <w:sz w:val="24"/>
          <w:highlight w:val="none"/>
        </w:rPr>
        <w:t>057</w:t>
      </w:r>
      <w:r>
        <w:rPr>
          <w:rFonts w:hint="eastAsia" w:ascii="宋体" w:hAnsi="宋体"/>
          <w:color w:val="000000"/>
          <w:kern w:val="0"/>
          <w:sz w:val="24"/>
          <w:highlight w:val="none"/>
        </w:rPr>
        <w:t>2</w:t>
      </w:r>
      <w:r>
        <w:rPr>
          <w:rFonts w:ascii="宋体" w:hAnsi="宋体"/>
          <w:color w:val="000000"/>
          <w:kern w:val="0"/>
          <w:sz w:val="24"/>
          <w:highlight w:val="none"/>
        </w:rPr>
        <w:t>-</w:t>
      </w:r>
      <w:r>
        <w:rPr>
          <w:rFonts w:hint="eastAsia" w:ascii="宋体" w:hAnsi="宋体"/>
          <w:color w:val="000000"/>
          <w:kern w:val="0"/>
          <w:sz w:val="24"/>
          <w:highlight w:val="none"/>
        </w:rPr>
        <w:t>8405635</w:t>
      </w:r>
    </w:p>
    <w:p>
      <w:pPr>
        <w:keepNext w:val="0"/>
        <w:keepLines w:val="0"/>
        <w:pageBreakBefore w:val="0"/>
        <w:widowControl w:val="0"/>
        <w:kinsoku/>
        <w:wordWrap/>
        <w:overflowPunct/>
        <w:topLinePunct w:val="0"/>
        <w:bidi w:val="0"/>
        <w:snapToGrid/>
        <w:spacing w:line="440" w:lineRule="exact"/>
        <w:ind w:left="0" w:leftChars="0" w:right="0" w:rightChars="0" w:firstLine="480" w:firstLineChars="200"/>
        <w:jc w:val="both"/>
        <w:textAlignment w:val="auto"/>
        <w:outlineLvl w:val="9"/>
        <w:rPr>
          <w:rFonts w:hint="eastAsia" w:ascii="宋体" w:hAnsi="宋体"/>
          <w:color w:val="000000"/>
          <w:kern w:val="0"/>
          <w:sz w:val="24"/>
          <w:highlight w:val="none"/>
        </w:rPr>
      </w:pPr>
      <w:r>
        <w:rPr>
          <w:rFonts w:hint="eastAsia" w:ascii="宋体" w:hAnsi="宋体" w:cs="宋体"/>
          <w:color w:val="000000"/>
          <w:kern w:val="0"/>
          <w:sz w:val="24"/>
          <w:highlight w:val="none"/>
        </w:rPr>
        <w:t>传真电话：</w:t>
      </w:r>
      <w:r>
        <w:rPr>
          <w:rFonts w:ascii="宋体" w:hAnsi="宋体"/>
          <w:color w:val="000000"/>
          <w:kern w:val="0"/>
          <w:sz w:val="24"/>
          <w:highlight w:val="none"/>
        </w:rPr>
        <w:t>057</w:t>
      </w:r>
      <w:r>
        <w:rPr>
          <w:rFonts w:hint="eastAsia" w:ascii="宋体" w:hAnsi="宋体"/>
          <w:color w:val="000000"/>
          <w:kern w:val="0"/>
          <w:sz w:val="24"/>
          <w:highlight w:val="none"/>
        </w:rPr>
        <w:t>2</w:t>
      </w:r>
      <w:r>
        <w:rPr>
          <w:rFonts w:ascii="宋体" w:hAnsi="宋体"/>
          <w:color w:val="000000"/>
          <w:kern w:val="0"/>
          <w:sz w:val="24"/>
          <w:highlight w:val="none"/>
        </w:rPr>
        <w:t>-</w:t>
      </w:r>
      <w:r>
        <w:rPr>
          <w:rFonts w:hint="eastAsia" w:ascii="宋体" w:hAnsi="宋体"/>
          <w:color w:val="000000"/>
          <w:kern w:val="0"/>
          <w:sz w:val="24"/>
          <w:highlight w:val="none"/>
        </w:rPr>
        <w:t>8822225</w:t>
      </w:r>
    </w:p>
    <w:p>
      <w:pPr>
        <w:keepNext w:val="0"/>
        <w:keepLines w:val="0"/>
        <w:pageBreakBefore w:val="0"/>
        <w:widowControl w:val="0"/>
        <w:kinsoku/>
        <w:wordWrap/>
        <w:overflowPunct/>
        <w:topLinePunct w:val="0"/>
        <w:bidi w:val="0"/>
        <w:snapToGrid/>
        <w:spacing w:line="440" w:lineRule="exact"/>
        <w:ind w:left="0" w:leftChars="0" w:right="0" w:rightChars="0" w:firstLine="482" w:firstLineChars="200"/>
        <w:jc w:val="both"/>
        <w:textAlignment w:val="auto"/>
        <w:outlineLvl w:val="9"/>
        <w:rPr>
          <w:rFonts w:hint="eastAsia" w:ascii="宋体" w:hAnsi="宋体"/>
          <w:b/>
          <w:bCs/>
          <w:color w:val="000000"/>
          <w:kern w:val="0"/>
          <w:sz w:val="24"/>
          <w:szCs w:val="24"/>
          <w:highlight w:val="none"/>
        </w:rPr>
      </w:pPr>
      <w:r>
        <w:rPr>
          <w:rFonts w:hint="eastAsia" w:ascii="宋体" w:hAnsi="宋体"/>
          <w:b/>
          <w:bCs/>
          <w:color w:val="000000"/>
          <w:kern w:val="0"/>
          <w:sz w:val="24"/>
          <w:szCs w:val="24"/>
          <w:highlight w:val="none"/>
          <w:lang w:val="en-US" w:eastAsia="zh-CN"/>
        </w:rPr>
        <w:t>九</w:t>
      </w:r>
      <w:r>
        <w:rPr>
          <w:rFonts w:hint="eastAsia" w:ascii="宋体" w:hAnsi="宋体"/>
          <w:b/>
          <w:bCs/>
          <w:color w:val="000000"/>
          <w:kern w:val="0"/>
          <w:sz w:val="24"/>
          <w:szCs w:val="24"/>
          <w:highlight w:val="none"/>
        </w:rPr>
        <w:t>、备查文件</w:t>
      </w:r>
    </w:p>
    <w:p>
      <w:pPr>
        <w:keepNext w:val="0"/>
        <w:keepLines w:val="0"/>
        <w:pageBreakBefore w:val="0"/>
        <w:widowControl w:val="0"/>
        <w:kinsoku/>
        <w:wordWrap/>
        <w:overflowPunct/>
        <w:topLinePunct w:val="0"/>
        <w:bidi w:val="0"/>
        <w:snapToGrid/>
        <w:spacing w:line="440" w:lineRule="exact"/>
        <w:ind w:left="0" w:leftChars="0" w:right="0" w:rightChars="0" w:firstLine="480" w:firstLineChars="200"/>
        <w:jc w:val="both"/>
        <w:textAlignment w:val="auto"/>
        <w:outlineLvl w:val="9"/>
        <w:rPr>
          <w:rFonts w:hint="eastAsia" w:ascii="宋体" w:hAnsi="宋体"/>
          <w:color w:val="000000"/>
          <w:kern w:val="0"/>
          <w:sz w:val="24"/>
          <w:highlight w:val="none"/>
        </w:rPr>
      </w:pPr>
      <w:r>
        <w:rPr>
          <w:rFonts w:hint="eastAsia" w:ascii="宋体" w:hAnsi="宋体"/>
          <w:color w:val="000000"/>
          <w:kern w:val="0"/>
          <w:sz w:val="24"/>
          <w:highlight w:val="none"/>
        </w:rPr>
        <w:t>1、登记公司确认有关分红派息具体时间安排的文件；</w:t>
      </w:r>
    </w:p>
    <w:p>
      <w:pPr>
        <w:keepNext w:val="0"/>
        <w:keepLines w:val="0"/>
        <w:pageBreakBefore w:val="0"/>
        <w:widowControl w:val="0"/>
        <w:kinsoku/>
        <w:wordWrap/>
        <w:overflowPunct/>
        <w:topLinePunct w:val="0"/>
        <w:bidi w:val="0"/>
        <w:snapToGrid/>
        <w:spacing w:line="440" w:lineRule="exact"/>
        <w:ind w:left="0" w:leftChars="0" w:right="0" w:rightChars="0" w:firstLine="480" w:firstLineChars="200"/>
        <w:jc w:val="both"/>
        <w:textAlignment w:val="auto"/>
        <w:outlineLvl w:val="9"/>
        <w:rPr>
          <w:rFonts w:hint="eastAsia" w:ascii="宋体" w:hAnsi="宋体"/>
          <w:color w:val="000000"/>
          <w:kern w:val="0"/>
          <w:sz w:val="24"/>
          <w:highlight w:val="none"/>
        </w:rPr>
      </w:pPr>
      <w:r>
        <w:rPr>
          <w:rFonts w:hint="eastAsia" w:ascii="宋体" w:hAnsi="宋体"/>
          <w:color w:val="000000"/>
          <w:kern w:val="0"/>
          <w:sz w:val="24"/>
          <w:highlight w:val="none"/>
        </w:rPr>
        <w:t>2、</w:t>
      </w:r>
      <w:r>
        <w:rPr>
          <w:rFonts w:hint="eastAsia" w:ascii="宋体" w:hAnsi="宋体"/>
          <w:color w:val="000000"/>
          <w:kern w:val="0"/>
          <w:sz w:val="24"/>
          <w:highlight w:val="none"/>
          <w:lang w:eastAsia="zh-CN"/>
        </w:rPr>
        <w:t>公司第</w:t>
      </w:r>
      <w:r>
        <w:rPr>
          <w:rFonts w:hint="eastAsia" w:ascii="宋体" w:hAnsi="宋体"/>
          <w:color w:val="000000"/>
          <w:kern w:val="0"/>
          <w:sz w:val="24"/>
          <w:highlight w:val="none"/>
          <w:lang w:val="en-US" w:eastAsia="zh-CN"/>
        </w:rPr>
        <w:t>六</w:t>
      </w:r>
      <w:r>
        <w:rPr>
          <w:rFonts w:hint="eastAsia" w:ascii="宋体" w:hAnsi="宋体"/>
          <w:color w:val="000000"/>
          <w:kern w:val="0"/>
          <w:sz w:val="24"/>
          <w:highlight w:val="none"/>
          <w:lang w:eastAsia="zh-CN"/>
        </w:rPr>
        <w:t>届</w:t>
      </w:r>
      <w:r>
        <w:rPr>
          <w:rFonts w:hint="eastAsia" w:ascii="宋体" w:hAnsi="宋体"/>
          <w:color w:val="000000"/>
          <w:kern w:val="0"/>
          <w:sz w:val="24"/>
          <w:highlight w:val="none"/>
          <w:lang w:val="en-US" w:eastAsia="zh-CN"/>
        </w:rPr>
        <w:t>二十九</w:t>
      </w:r>
      <w:r>
        <w:rPr>
          <w:rFonts w:hint="eastAsia" w:ascii="宋体" w:hAnsi="宋体"/>
          <w:color w:val="000000"/>
          <w:kern w:val="0"/>
          <w:sz w:val="24"/>
          <w:highlight w:val="none"/>
          <w:lang w:eastAsia="zh-CN"/>
        </w:rPr>
        <w:t>次</w:t>
      </w:r>
      <w:r>
        <w:rPr>
          <w:rFonts w:hint="eastAsia" w:ascii="宋体" w:hAnsi="宋体"/>
          <w:color w:val="000000"/>
          <w:kern w:val="0"/>
          <w:sz w:val="24"/>
          <w:highlight w:val="none"/>
        </w:rPr>
        <w:t>董事会决议；</w:t>
      </w:r>
    </w:p>
    <w:p>
      <w:pPr>
        <w:keepNext w:val="0"/>
        <w:keepLines w:val="0"/>
        <w:pageBreakBefore w:val="0"/>
        <w:widowControl w:val="0"/>
        <w:kinsoku/>
        <w:wordWrap/>
        <w:overflowPunct/>
        <w:topLinePunct w:val="0"/>
        <w:bidi w:val="0"/>
        <w:snapToGrid/>
        <w:spacing w:line="440" w:lineRule="exact"/>
        <w:ind w:left="0" w:leftChars="0" w:right="0" w:rightChars="0" w:firstLine="480" w:firstLineChars="200"/>
        <w:jc w:val="both"/>
        <w:textAlignment w:val="auto"/>
        <w:outlineLvl w:val="9"/>
        <w:rPr>
          <w:rFonts w:hint="eastAsia" w:ascii="宋体" w:hAnsi="宋体"/>
          <w:color w:val="000000"/>
          <w:kern w:val="0"/>
          <w:sz w:val="24"/>
          <w:highlight w:val="none"/>
        </w:rPr>
      </w:pPr>
      <w:r>
        <w:rPr>
          <w:rFonts w:hint="eastAsia" w:ascii="宋体" w:hAnsi="宋体"/>
          <w:color w:val="000000"/>
          <w:kern w:val="0"/>
          <w:sz w:val="24"/>
          <w:highlight w:val="none"/>
        </w:rPr>
        <w:t>3、</w:t>
      </w:r>
      <w:r>
        <w:rPr>
          <w:rFonts w:hint="eastAsia" w:ascii="宋体" w:hAnsi="宋体"/>
          <w:color w:val="000000"/>
          <w:kern w:val="0"/>
          <w:sz w:val="24"/>
          <w:highlight w:val="none"/>
          <w:lang w:eastAsia="zh-CN"/>
        </w:rPr>
        <w:t>公司</w:t>
      </w:r>
      <w:r>
        <w:rPr>
          <w:rFonts w:hint="eastAsia" w:ascii="宋体" w:hAnsi="宋体"/>
          <w:color w:val="000000"/>
          <w:kern w:val="0"/>
          <w:sz w:val="24"/>
          <w:highlight w:val="none"/>
          <w:lang w:val="en-US" w:eastAsia="zh-CN"/>
        </w:rPr>
        <w:t>2019年年度</w:t>
      </w:r>
      <w:r>
        <w:rPr>
          <w:rFonts w:hint="eastAsia" w:ascii="宋体" w:hAnsi="宋体"/>
          <w:color w:val="000000"/>
          <w:kern w:val="0"/>
          <w:sz w:val="24"/>
          <w:highlight w:val="none"/>
        </w:rPr>
        <w:t>股东大会决议；</w:t>
      </w:r>
    </w:p>
    <w:p>
      <w:pPr>
        <w:keepNext w:val="0"/>
        <w:keepLines w:val="0"/>
        <w:pageBreakBefore w:val="0"/>
        <w:widowControl w:val="0"/>
        <w:kinsoku/>
        <w:wordWrap/>
        <w:overflowPunct/>
        <w:topLinePunct w:val="0"/>
        <w:bidi w:val="0"/>
        <w:snapToGrid/>
        <w:spacing w:line="440" w:lineRule="exact"/>
        <w:ind w:left="0" w:leftChars="0" w:right="0" w:rightChars="0" w:firstLine="480" w:firstLineChars="200"/>
        <w:jc w:val="both"/>
        <w:textAlignment w:val="auto"/>
        <w:outlineLvl w:val="9"/>
        <w:rPr>
          <w:rFonts w:hint="eastAsia" w:ascii="宋体" w:hAnsi="宋体" w:cs="宋体"/>
          <w:i/>
          <w:iCs/>
          <w:color w:val="000000"/>
          <w:kern w:val="0"/>
          <w:sz w:val="24"/>
          <w:highlight w:val="none"/>
        </w:rPr>
      </w:pPr>
      <w:r>
        <w:rPr>
          <w:rFonts w:hint="eastAsia" w:ascii="宋体" w:hAnsi="宋体"/>
          <w:color w:val="000000"/>
          <w:kern w:val="0"/>
          <w:sz w:val="24"/>
          <w:highlight w:val="none"/>
        </w:rPr>
        <w:t>4、深交所要求的其他文件。</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440" w:lineRule="exact"/>
        <w:ind w:left="0" w:leftChars="0" w:right="0" w:rightChars="0" w:firstLine="5040" w:firstLineChars="2100"/>
        <w:jc w:val="both"/>
        <w:textAlignment w:val="auto"/>
        <w:outlineLvl w:val="9"/>
        <w:rPr>
          <w:rFonts w:ascii="宋体" w:hAnsi="宋体" w:cs="宋体"/>
          <w:color w:val="000000"/>
          <w:kern w:val="0"/>
          <w:sz w:val="24"/>
          <w:highlight w:val="none"/>
        </w:rPr>
      </w:pPr>
      <w:r>
        <w:rPr>
          <w:rFonts w:hint="eastAsia" w:ascii="宋体" w:hAnsi="宋体" w:cs="宋体"/>
          <w:color w:val="000000"/>
          <w:kern w:val="0"/>
          <w:sz w:val="24"/>
          <w:highlight w:val="none"/>
        </w:rPr>
        <w:t>德华兔宝宝装饰新材股份有限公司</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440" w:lineRule="exact"/>
        <w:ind w:left="0" w:leftChars="0" w:right="0" w:rightChars="0" w:firstLine="6360" w:firstLineChars="2650"/>
        <w:jc w:val="both"/>
        <w:textAlignment w:val="auto"/>
        <w:outlineLvl w:val="9"/>
        <w:rPr>
          <w:rFonts w:ascii="宋体" w:hAnsi="宋体" w:cs="宋体"/>
          <w:color w:val="000000"/>
          <w:kern w:val="0"/>
          <w:sz w:val="24"/>
          <w:highlight w:val="none"/>
        </w:rPr>
      </w:pPr>
      <w:r>
        <w:rPr>
          <w:rFonts w:hint="eastAsia" w:ascii="宋体" w:hAnsi="宋体" w:cs="宋体"/>
          <w:color w:val="000000"/>
          <w:kern w:val="0"/>
          <w:sz w:val="24"/>
          <w:highlight w:val="none"/>
        </w:rPr>
        <w:t>董</w:t>
      </w:r>
      <w:r>
        <w:rPr>
          <w:rFonts w:ascii="宋体" w:hAnsi="宋体" w:cs="宋体"/>
          <w:color w:val="000000"/>
          <w:kern w:val="0"/>
          <w:sz w:val="24"/>
          <w:highlight w:val="none"/>
        </w:rPr>
        <w:t xml:space="preserve"> </w:t>
      </w:r>
      <w:r>
        <w:rPr>
          <w:rFonts w:hint="eastAsia" w:ascii="宋体" w:hAnsi="宋体" w:cs="宋体"/>
          <w:color w:val="000000"/>
          <w:kern w:val="0"/>
          <w:sz w:val="24"/>
          <w:highlight w:val="none"/>
        </w:rPr>
        <w:t>事</w:t>
      </w:r>
      <w:r>
        <w:rPr>
          <w:rFonts w:ascii="宋体" w:hAnsi="宋体" w:cs="宋体"/>
          <w:color w:val="000000"/>
          <w:kern w:val="0"/>
          <w:sz w:val="24"/>
          <w:highlight w:val="none"/>
        </w:rPr>
        <w:t xml:space="preserve"> </w:t>
      </w:r>
      <w:r>
        <w:rPr>
          <w:rFonts w:hint="eastAsia" w:ascii="宋体" w:hAnsi="宋体" w:cs="宋体"/>
          <w:color w:val="000000"/>
          <w:kern w:val="0"/>
          <w:sz w:val="24"/>
          <w:highlight w:val="none"/>
        </w:rPr>
        <w:t>会</w:t>
      </w:r>
    </w:p>
    <w:p>
      <w:pPr>
        <w:keepNext w:val="0"/>
        <w:keepLines w:val="0"/>
        <w:pageBreakBefore w:val="0"/>
        <w:widowControl w:val="0"/>
        <w:kinsoku/>
        <w:wordWrap/>
        <w:overflowPunct/>
        <w:topLinePunct w:val="0"/>
        <w:bidi w:val="0"/>
        <w:snapToGrid/>
        <w:spacing w:before="0" w:beforeLines="0" w:after="0" w:afterLines="0" w:line="440" w:lineRule="exact"/>
        <w:ind w:left="0" w:leftChars="0" w:right="0" w:rightChars="0" w:firstLine="6000" w:firstLineChars="2500"/>
        <w:jc w:val="both"/>
        <w:textAlignment w:val="auto"/>
        <w:outlineLvl w:val="9"/>
      </w:pPr>
      <w:r>
        <w:rPr>
          <w:rFonts w:hint="eastAsia" w:ascii="宋体" w:hAnsi="宋体"/>
          <w:color w:val="000000"/>
          <w:kern w:val="0"/>
          <w:sz w:val="24"/>
          <w:highlight w:val="none"/>
          <w:lang w:val="en-US" w:eastAsia="zh-CN"/>
        </w:rPr>
        <w:t>2020</w:t>
      </w:r>
      <w:r>
        <w:rPr>
          <w:rFonts w:hint="eastAsia" w:ascii="宋体" w:hAnsi="宋体" w:cs="宋体"/>
          <w:color w:val="000000"/>
          <w:kern w:val="0"/>
          <w:sz w:val="24"/>
          <w:highlight w:val="none"/>
        </w:rPr>
        <w:t>年</w:t>
      </w:r>
      <w:r>
        <w:rPr>
          <w:rFonts w:hint="eastAsia" w:ascii="宋体" w:hAnsi="宋体"/>
          <w:color w:val="000000"/>
          <w:kern w:val="0"/>
          <w:sz w:val="24"/>
          <w:highlight w:val="none"/>
          <w:lang w:val="en-US" w:eastAsia="zh-CN"/>
        </w:rPr>
        <w:t>6</w:t>
      </w:r>
      <w:r>
        <w:rPr>
          <w:rFonts w:hint="eastAsia" w:ascii="宋体" w:hAnsi="宋体" w:cs="宋体"/>
          <w:color w:val="000000"/>
          <w:kern w:val="0"/>
          <w:sz w:val="24"/>
          <w:highlight w:val="none"/>
        </w:rPr>
        <w:t>月</w:t>
      </w:r>
      <w:r>
        <w:rPr>
          <w:rFonts w:hint="eastAsia" w:ascii="宋体" w:hAnsi="宋体" w:cs="宋体"/>
          <w:color w:val="000000"/>
          <w:kern w:val="0"/>
          <w:sz w:val="24"/>
          <w:highlight w:val="none"/>
          <w:lang w:val="en-US" w:eastAsia="zh-CN"/>
        </w:rPr>
        <w:t>29</w:t>
      </w:r>
      <w:r>
        <w:rPr>
          <w:rFonts w:hint="eastAsia" w:ascii="宋体" w:hAnsi="宋体" w:cs="宋体"/>
          <w:color w:val="000000"/>
          <w:kern w:val="0"/>
          <w:sz w:val="24"/>
          <w:highlight w:val="none"/>
        </w:rPr>
        <w:t>日</w:t>
      </w:r>
    </w:p>
    <w:sectPr>
      <w:headerReference r:id="rId3" w:type="default"/>
      <w:pgSz w:w="11906" w:h="16838"/>
      <w:pgMar w:top="1417" w:right="1417" w:bottom="1417"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BE3471"/>
    <w:multiLevelType w:val="singleLevel"/>
    <w:tmpl w:val="A8BE3471"/>
    <w:lvl w:ilvl="0" w:tentative="0">
      <w:start w:val="2"/>
      <w:numFmt w:val="decimal"/>
      <w:suff w:val="nothing"/>
      <w:lvlText w:val="%1、"/>
      <w:lvlJc w:val="left"/>
    </w:lvl>
  </w:abstractNum>
  <w:abstractNum w:abstractNumId="1">
    <w:nsid w:val="592FBEE6"/>
    <w:multiLevelType w:val="singleLevel"/>
    <w:tmpl w:val="592FBEE6"/>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268A3"/>
    <w:rsid w:val="039A63E8"/>
    <w:rsid w:val="0E4D0933"/>
    <w:rsid w:val="18B85355"/>
    <w:rsid w:val="1A074A79"/>
    <w:rsid w:val="1C6D3C2C"/>
    <w:rsid w:val="3996721B"/>
    <w:rsid w:val="46DC16BE"/>
    <w:rsid w:val="65780EAA"/>
    <w:rsid w:val="69AE1067"/>
    <w:rsid w:val="6D7268A3"/>
    <w:rsid w:val="6FE74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2020-06-22T08:33:00Z</dcterms:created>
  <dc:creator>admin</dc:creator>
  <cp:lastModifiedBy>admin</cp:lastModifiedBy>
  <dcterms:modified xsi:type="dcterms:W3CDTF">2020-06-24T09:12:59Z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