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Style w:val="4"/>
          <w:rFonts w:hint="default" w:ascii="宋体" w:hAnsi="宋体"/>
          <w:color w:val="000000"/>
          <w:sz w:val="24"/>
          <w:lang w:val="en-US" w:eastAsia="zh-CN"/>
        </w:rPr>
      </w:pPr>
      <w:r>
        <w:rPr>
          <w:rFonts w:hint="eastAsia" w:ascii="宋体" w:hAnsi="宋体" w:eastAsia="宋体" w:cs="宋体"/>
          <w:sz w:val="24"/>
          <w:szCs w:val="24"/>
        </w:rPr>
        <w:t xml:space="preserve">股票代码：002043            股票简称：兔宝宝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公告编号：</w:t>
      </w:r>
      <w:r>
        <w:rPr>
          <w:rStyle w:val="4"/>
          <w:rFonts w:hint="eastAsia" w:ascii="宋体" w:hAnsi="宋体" w:eastAsia="宋体"/>
          <w:color w:val="000000"/>
          <w:sz w:val="24"/>
          <w:lang w:val="en-US" w:eastAsia="zh-CN"/>
        </w:rPr>
        <w:t>2020</w:t>
      </w:r>
      <w:r>
        <w:rPr>
          <w:rStyle w:val="4"/>
          <w:rFonts w:hint="eastAsia" w:ascii="宋体" w:hAnsi="宋体"/>
          <w:color w:val="000000"/>
          <w:sz w:val="24"/>
        </w:rPr>
        <w:t>-</w:t>
      </w:r>
      <w:r>
        <w:rPr>
          <w:rStyle w:val="4"/>
          <w:rFonts w:hint="eastAsia" w:ascii="宋体" w:hAnsi="宋体"/>
          <w:color w:val="000000"/>
          <w:sz w:val="24"/>
          <w:lang w:val="en-US" w:eastAsia="zh-CN"/>
        </w:rPr>
        <w:t>041</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Arial" w:hAnsi="Arial" w:cs="Arial"/>
          <w:b/>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420" w:lineRule="exact"/>
        <w:ind w:left="0" w:leftChars="0" w:right="0" w:rightChars="0" w:firstLine="0" w:firstLineChars="0"/>
        <w:jc w:val="center"/>
        <w:textAlignment w:val="auto"/>
        <w:outlineLvl w:val="9"/>
        <w:rPr>
          <w:rFonts w:ascii="Arial" w:hAnsi="Arial" w:cs="Arial"/>
          <w:b/>
          <w:color w:val="auto"/>
          <w:sz w:val="32"/>
          <w:szCs w:val="32"/>
        </w:rPr>
      </w:pPr>
      <w:r>
        <w:rPr>
          <w:rFonts w:hint="eastAsia" w:ascii="Arial" w:hAnsi="Arial" w:cs="Arial"/>
          <w:b/>
          <w:color w:val="auto"/>
          <w:sz w:val="32"/>
          <w:szCs w:val="32"/>
        </w:rPr>
        <w:t>德华兔宝宝装饰新材股份有限公司</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159" w:beforeLines="50" w:beforeAutospacing="0" w:after="157" w:afterLines="50" w:line="420" w:lineRule="exact"/>
        <w:ind w:left="0" w:leftChars="0" w:right="0" w:rightChars="0" w:firstLine="630" w:firstLineChars="196"/>
        <w:jc w:val="left"/>
        <w:textAlignment w:val="auto"/>
        <w:outlineLvl w:val="9"/>
        <w:rPr>
          <w:rFonts w:ascii="宋体" w:hAnsi="宋体" w:eastAsia="宋体"/>
          <w:b w:val="0"/>
          <w:bCs/>
          <w:sz w:val="24"/>
          <w:szCs w:val="24"/>
        </w:rPr>
      </w:pPr>
      <w:r>
        <w:rPr>
          <w:rFonts w:hint="eastAsia" w:ascii="Arial" w:hAnsi="Arial" w:cs="Arial"/>
          <w:b/>
          <w:color w:val="auto"/>
          <w:sz w:val="32"/>
          <w:szCs w:val="32"/>
        </w:rPr>
        <w:t>关于全资子公司对外投资设立产业投资基金</w:t>
      </w:r>
      <w:r>
        <w:rPr>
          <w:rFonts w:hint="eastAsia" w:ascii="Arial" w:hAnsi="Arial" w:cs="Arial"/>
          <w:b/>
          <w:color w:val="auto"/>
          <w:sz w:val="32"/>
          <w:szCs w:val="32"/>
          <w:lang w:eastAsia="zh-CN"/>
        </w:rPr>
        <w:t>（二期）</w:t>
      </w:r>
      <w:r>
        <w:rPr>
          <w:rFonts w:hint="eastAsia" w:ascii="Arial" w:hAnsi="Arial" w:cs="Arial"/>
          <w:b/>
          <w:color w:val="auto"/>
          <w:sz w:val="32"/>
          <w:szCs w:val="32"/>
        </w:rPr>
        <w:t>的公告</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157" w:afterLines="50" w:line="360" w:lineRule="auto"/>
        <w:ind w:left="0" w:leftChars="0" w:right="0" w:rightChars="0" w:firstLine="470" w:firstLineChars="196"/>
        <w:jc w:val="left"/>
        <w:textAlignment w:val="auto"/>
        <w:outlineLvl w:val="9"/>
        <w:rPr>
          <w:rFonts w:ascii="宋体" w:hAnsi="宋体" w:eastAsia="宋体"/>
          <w:b w:val="0"/>
          <w:bCs/>
          <w:sz w:val="24"/>
          <w:szCs w:val="24"/>
        </w:rPr>
      </w:pPr>
      <w:r>
        <w:rPr>
          <w:rFonts w:ascii="宋体" w:hAnsi="宋体" w:eastAsia="宋体"/>
          <w:b w:val="0"/>
          <w:bCs/>
          <w:sz w:val="24"/>
          <w:szCs w:val="24"/>
        </w:rPr>
        <w:t>本公司及董事会全体成员保证信息披露内容的真实、准确和完整，没有虚假记载、误导性陈述或重大遗漏</w:t>
      </w:r>
      <w:r>
        <w:rPr>
          <w:rFonts w:hint="eastAsia" w:ascii="宋体" w:hAnsi="宋体" w:eastAsia="宋体"/>
          <w:b w:val="0"/>
          <w:bCs/>
          <w:sz w:val="24"/>
          <w:szCs w:val="24"/>
        </w:rPr>
        <w:t>。</w:t>
      </w:r>
    </w:p>
    <w:p>
      <w:pPr>
        <w:keepNext w:val="0"/>
        <w:keepLines w:val="0"/>
        <w:pageBreakBefore w:val="0"/>
        <w:numPr>
          <w:ilvl w:val="0"/>
          <w:numId w:val="1"/>
        </w:numPr>
        <w:tabs>
          <w:tab w:val="left" w:pos="900"/>
        </w:tabs>
        <w:kinsoku/>
        <w:wordWrap/>
        <w:overflowPunct/>
        <w:topLinePunct w:val="0"/>
        <w:autoSpaceDE/>
        <w:autoSpaceDN/>
        <w:bidi w:val="0"/>
        <w:adjustRightInd/>
        <w:snapToGrid/>
        <w:spacing w:line="420" w:lineRule="exact"/>
        <w:ind w:right="0" w:rightChars="0" w:firstLine="482" w:firstLineChars="200"/>
        <w:textAlignment w:val="auto"/>
        <w:rPr>
          <w:rFonts w:hint="eastAsia" w:ascii="宋体" w:hAnsi="宋体"/>
          <w:b/>
          <w:sz w:val="24"/>
        </w:rPr>
      </w:pPr>
      <w:r>
        <w:rPr>
          <w:rFonts w:hint="eastAsia" w:ascii="宋体" w:hAnsi="宋体"/>
          <w:b/>
          <w:sz w:val="24"/>
        </w:rPr>
        <w:t>对外投资概述</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1、2016年5月25日，德华兔宝宝装饰新材股份有限公司（以下简称“公司”或者“兔宝宝”）与北京方圆金鼎投资管理有限公司（以下简称“方圆金鼎”）签署了《合作框架协议》，产业</w:t>
      </w:r>
      <w:r>
        <w:rPr>
          <w:rFonts w:hint="eastAsia" w:asciiTheme="minorEastAsia" w:hAnsiTheme="minorEastAsia"/>
          <w:sz w:val="24"/>
          <w:szCs w:val="24"/>
        </w:rPr>
        <w:t>基金总规模为人民币</w:t>
      </w:r>
      <w:r>
        <w:rPr>
          <w:rFonts w:asciiTheme="minorEastAsia" w:hAnsiTheme="minorEastAsia"/>
          <w:sz w:val="24"/>
          <w:szCs w:val="24"/>
        </w:rPr>
        <w:t>10</w:t>
      </w:r>
      <w:r>
        <w:rPr>
          <w:rFonts w:hint="eastAsia" w:asciiTheme="minorEastAsia" w:hAnsiTheme="minorEastAsia"/>
          <w:sz w:val="24"/>
          <w:szCs w:val="24"/>
        </w:rPr>
        <w:t>亿元，分期设立，公司拟</w:t>
      </w:r>
      <w:r>
        <w:rPr>
          <w:rFonts w:asciiTheme="minorEastAsia" w:hAnsiTheme="minorEastAsia"/>
          <w:sz w:val="24"/>
          <w:szCs w:val="24"/>
        </w:rPr>
        <w:t>使用自有资金</w:t>
      </w:r>
      <w:r>
        <w:rPr>
          <w:rFonts w:hint="eastAsia" w:asciiTheme="minorEastAsia" w:hAnsiTheme="minorEastAsia"/>
          <w:sz w:val="24"/>
          <w:szCs w:val="24"/>
        </w:rPr>
        <w:t>出资</w:t>
      </w:r>
      <w:r>
        <w:rPr>
          <w:rFonts w:asciiTheme="minorEastAsia" w:hAnsiTheme="minorEastAsia"/>
          <w:sz w:val="24"/>
          <w:szCs w:val="24"/>
        </w:rPr>
        <w:t>不低于</w:t>
      </w:r>
      <w:r>
        <w:rPr>
          <w:rFonts w:hint="eastAsia" w:asciiTheme="minorEastAsia" w:hAnsiTheme="minorEastAsia"/>
          <w:sz w:val="24"/>
          <w:szCs w:val="24"/>
        </w:rPr>
        <w:t>总</w:t>
      </w:r>
      <w:r>
        <w:rPr>
          <w:rFonts w:asciiTheme="minorEastAsia" w:hAnsiTheme="minorEastAsia"/>
          <w:sz w:val="24"/>
          <w:szCs w:val="24"/>
        </w:rPr>
        <w:t>基金规模的</w:t>
      </w:r>
      <w:r>
        <w:rPr>
          <w:rFonts w:hint="eastAsia" w:asciiTheme="minorEastAsia" w:hAnsiTheme="minorEastAsia"/>
          <w:sz w:val="24"/>
          <w:szCs w:val="24"/>
        </w:rPr>
        <w:t>40</w:t>
      </w:r>
      <w:r>
        <w:rPr>
          <w:rFonts w:asciiTheme="minorEastAsia" w:hAnsiTheme="minorEastAsia"/>
          <w:sz w:val="24"/>
          <w:szCs w:val="24"/>
        </w:rPr>
        <w:t>%，</w:t>
      </w:r>
      <w:r>
        <w:rPr>
          <w:rFonts w:hint="eastAsia" w:asciiTheme="minorEastAsia" w:hAnsiTheme="minorEastAsia"/>
          <w:sz w:val="24"/>
          <w:szCs w:val="24"/>
        </w:rPr>
        <w:t>剩余</w:t>
      </w:r>
      <w:r>
        <w:rPr>
          <w:rFonts w:asciiTheme="minorEastAsia" w:hAnsiTheme="minorEastAsia"/>
          <w:sz w:val="24"/>
          <w:szCs w:val="24"/>
        </w:rPr>
        <w:t>资金</w:t>
      </w:r>
      <w:r>
        <w:rPr>
          <w:rFonts w:hint="eastAsia" w:asciiTheme="minorEastAsia" w:hAnsiTheme="minorEastAsia"/>
          <w:sz w:val="24"/>
          <w:szCs w:val="24"/>
        </w:rPr>
        <w:t>进行</w:t>
      </w:r>
      <w:r>
        <w:rPr>
          <w:rFonts w:asciiTheme="minorEastAsia" w:hAnsiTheme="minorEastAsia"/>
          <w:sz w:val="24"/>
          <w:szCs w:val="24"/>
        </w:rPr>
        <w:t>社会募集。</w:t>
      </w:r>
      <w:r>
        <w:rPr>
          <w:rFonts w:hint="eastAsia" w:asciiTheme="minorEastAsia" w:hAnsiTheme="minorEastAsia"/>
          <w:sz w:val="24"/>
          <w:szCs w:val="24"/>
        </w:rPr>
        <w:t>2016年</w:t>
      </w:r>
      <w:r>
        <w:rPr>
          <w:rFonts w:hint="eastAsia" w:asciiTheme="minorEastAsia" w:hAnsiTheme="minorEastAsia"/>
          <w:sz w:val="24"/>
          <w:szCs w:val="24"/>
          <w:lang w:val="en-US" w:eastAsia="zh-CN"/>
        </w:rPr>
        <w:t>8</w:t>
      </w:r>
      <w:r>
        <w:rPr>
          <w:rFonts w:hint="eastAsia" w:asciiTheme="minorEastAsia" w:hAnsiTheme="minorEastAsia"/>
          <w:sz w:val="24"/>
          <w:szCs w:val="24"/>
        </w:rPr>
        <w:t>月</w:t>
      </w:r>
      <w:r>
        <w:rPr>
          <w:rFonts w:hint="eastAsia" w:asciiTheme="minorEastAsia" w:hAnsiTheme="minorEastAsia"/>
          <w:sz w:val="24"/>
          <w:szCs w:val="24"/>
          <w:lang w:val="en-US" w:eastAsia="zh-CN"/>
        </w:rPr>
        <w:t>5</w:t>
      </w:r>
      <w:r>
        <w:rPr>
          <w:rFonts w:hint="eastAsia" w:asciiTheme="minorEastAsia" w:hAnsiTheme="minorEastAsia"/>
          <w:sz w:val="24"/>
          <w:szCs w:val="24"/>
        </w:rPr>
        <w:t>日公司第</w:t>
      </w:r>
      <w:r>
        <w:rPr>
          <w:rFonts w:hint="eastAsia" w:asciiTheme="minorEastAsia" w:hAnsiTheme="minorEastAsia"/>
          <w:sz w:val="24"/>
          <w:szCs w:val="24"/>
          <w:lang w:eastAsia="zh-CN"/>
        </w:rPr>
        <w:t>五</w:t>
      </w:r>
      <w:r>
        <w:rPr>
          <w:rFonts w:hint="eastAsia" w:asciiTheme="minorEastAsia" w:hAnsiTheme="minorEastAsia"/>
          <w:sz w:val="24"/>
          <w:szCs w:val="24"/>
        </w:rPr>
        <w:t>届董事会第</w:t>
      </w:r>
      <w:r>
        <w:rPr>
          <w:rFonts w:hint="eastAsia" w:asciiTheme="minorEastAsia" w:hAnsiTheme="minorEastAsia"/>
          <w:sz w:val="24"/>
          <w:szCs w:val="24"/>
          <w:lang w:eastAsia="zh-CN"/>
        </w:rPr>
        <w:t>十九</w:t>
      </w:r>
      <w:r>
        <w:rPr>
          <w:rFonts w:hint="eastAsia" w:asciiTheme="minorEastAsia" w:hAnsiTheme="minorEastAsia"/>
          <w:sz w:val="24"/>
          <w:szCs w:val="24"/>
        </w:rPr>
        <w:t>次会议审议通过了《关于发起设立</w:t>
      </w:r>
      <w:r>
        <w:rPr>
          <w:rFonts w:hint="eastAsia" w:asciiTheme="minorEastAsia" w:hAnsiTheme="minorEastAsia"/>
          <w:sz w:val="24"/>
          <w:szCs w:val="24"/>
          <w:lang w:eastAsia="zh-CN"/>
        </w:rPr>
        <w:t>德清</w:t>
      </w:r>
      <w:r>
        <w:rPr>
          <w:rFonts w:hint="eastAsia" w:asciiTheme="minorEastAsia" w:hAnsiTheme="minorEastAsia"/>
          <w:sz w:val="24"/>
          <w:szCs w:val="24"/>
        </w:rPr>
        <w:t>兔宝宝</w:t>
      </w:r>
      <w:r>
        <w:rPr>
          <w:rFonts w:asciiTheme="minorEastAsia" w:hAnsiTheme="minorEastAsia"/>
          <w:sz w:val="24"/>
          <w:szCs w:val="24"/>
        </w:rPr>
        <w:t>金鼎</w:t>
      </w:r>
      <w:r>
        <w:rPr>
          <w:rFonts w:hint="eastAsia" w:asciiTheme="minorEastAsia" w:hAnsiTheme="minorEastAsia"/>
          <w:sz w:val="24"/>
          <w:szCs w:val="24"/>
        </w:rPr>
        <w:t>资产管理</w:t>
      </w:r>
      <w:r>
        <w:rPr>
          <w:rFonts w:ascii="宋体" w:hAnsi="宋体"/>
          <w:sz w:val="24"/>
          <w:szCs w:val="24"/>
        </w:rPr>
        <w:t>合伙</w:t>
      </w:r>
      <w:r>
        <w:rPr>
          <w:rFonts w:hint="eastAsia"/>
          <w:sz w:val="24"/>
          <w:szCs w:val="24"/>
          <w:lang w:eastAsia="zh-CN"/>
        </w:rPr>
        <w:t>企业</w:t>
      </w:r>
      <w:r>
        <w:rPr>
          <w:rFonts w:hint="eastAsia" w:asciiTheme="minorEastAsia" w:hAnsiTheme="minorEastAsia"/>
          <w:sz w:val="24"/>
          <w:szCs w:val="24"/>
        </w:rPr>
        <w:t>（</w:t>
      </w:r>
      <w:r>
        <w:rPr>
          <w:rFonts w:asciiTheme="minorEastAsia" w:hAnsiTheme="minorEastAsia"/>
          <w:sz w:val="24"/>
          <w:szCs w:val="24"/>
        </w:rPr>
        <w:t>有限合伙）</w:t>
      </w:r>
      <w:r>
        <w:rPr>
          <w:rFonts w:hint="eastAsia" w:asciiTheme="minorEastAsia" w:hAnsiTheme="minorEastAsia"/>
          <w:sz w:val="24"/>
          <w:szCs w:val="24"/>
          <w:lang w:val="en-US" w:eastAsia="zh-CN"/>
        </w:rPr>
        <w:t>&gt;</w:t>
      </w:r>
      <w:r>
        <w:rPr>
          <w:rFonts w:hint="eastAsia" w:asciiTheme="minorEastAsia" w:hAnsiTheme="minorEastAsia"/>
          <w:sz w:val="24"/>
          <w:szCs w:val="24"/>
        </w:rPr>
        <w:t>的议案》</w:t>
      </w:r>
      <w:r>
        <w:rPr>
          <w:rFonts w:hint="eastAsia" w:asciiTheme="minorEastAsia" w:hAnsiTheme="minorEastAsia"/>
          <w:sz w:val="24"/>
          <w:szCs w:val="24"/>
          <w:lang w:eastAsia="zh-CN"/>
        </w:rPr>
        <w:t>，</w:t>
      </w:r>
      <w:r>
        <w:rPr>
          <w:rFonts w:hint="eastAsia" w:ascii="宋体" w:hAnsi="宋体"/>
          <w:sz w:val="24"/>
          <w:szCs w:val="24"/>
          <w:lang w:eastAsia="zh-CN"/>
        </w:rPr>
        <w:t>基金</w:t>
      </w:r>
      <w:r>
        <w:rPr>
          <w:rFonts w:hint="eastAsia" w:ascii="宋体" w:hAnsi="宋体"/>
          <w:sz w:val="24"/>
          <w:szCs w:val="24"/>
        </w:rPr>
        <w:t>规模</w:t>
      </w:r>
      <w:r>
        <w:rPr>
          <w:rFonts w:hint="eastAsia" w:ascii="宋体" w:hAnsi="宋体"/>
          <w:sz w:val="24"/>
          <w:szCs w:val="24"/>
          <w:lang w:eastAsia="zh-CN"/>
        </w:rPr>
        <w:t>：</w:t>
      </w:r>
      <w:r>
        <w:rPr>
          <w:rFonts w:hint="eastAsia" w:ascii="宋体" w:hAnsi="宋体"/>
          <w:sz w:val="24"/>
          <w:szCs w:val="24"/>
        </w:rPr>
        <w:t>人民币2亿元，公司作为基金的有限合伙人，出资总额不低于基金总规模的40%。</w:t>
      </w:r>
      <w:r>
        <w:rPr>
          <w:rFonts w:hint="eastAsia" w:ascii="宋体" w:hAnsi="宋体"/>
          <w:sz w:val="24"/>
          <w:szCs w:val="24"/>
          <w:lang w:val="en-US" w:eastAsia="zh-CN"/>
        </w:rPr>
        <w:t>根据最新修订的</w:t>
      </w:r>
      <w:r>
        <w:rPr>
          <w:rFonts w:hint="eastAsia" w:ascii="宋体" w:hAnsi="宋体"/>
          <w:sz w:val="24"/>
          <w:szCs w:val="24"/>
          <w:lang w:eastAsia="zh-CN"/>
        </w:rPr>
        <w:t>《私募投资基金备案须知（</w:t>
      </w:r>
      <w:r>
        <w:rPr>
          <w:rFonts w:hint="eastAsia" w:ascii="宋体" w:hAnsi="宋体"/>
          <w:sz w:val="24"/>
          <w:szCs w:val="24"/>
          <w:lang w:val="en-US" w:eastAsia="zh-CN"/>
        </w:rPr>
        <w:t>2019年12月</w:t>
      </w:r>
      <w:r>
        <w:rPr>
          <w:rFonts w:hint="eastAsia" w:ascii="宋体" w:hAnsi="宋体"/>
          <w:sz w:val="24"/>
          <w:szCs w:val="24"/>
          <w:lang w:eastAsia="zh-CN"/>
        </w:rPr>
        <w:t>）》的</w:t>
      </w:r>
      <w:r>
        <w:rPr>
          <w:rFonts w:hint="eastAsia" w:ascii="宋体" w:hAnsi="宋体"/>
          <w:sz w:val="24"/>
          <w:szCs w:val="24"/>
          <w:lang w:val="en-US" w:eastAsia="zh-CN"/>
        </w:rPr>
        <w:t>有关</w:t>
      </w:r>
      <w:r>
        <w:rPr>
          <w:rFonts w:hint="eastAsia" w:ascii="宋体" w:hAnsi="宋体"/>
          <w:sz w:val="24"/>
          <w:szCs w:val="24"/>
          <w:lang w:eastAsia="zh-CN"/>
        </w:rPr>
        <w:t>规定，</w:t>
      </w:r>
      <w:r>
        <w:rPr>
          <w:rFonts w:hint="eastAsia" w:asciiTheme="minorEastAsia" w:hAnsiTheme="minorEastAsia"/>
          <w:sz w:val="24"/>
          <w:szCs w:val="24"/>
          <w:lang w:eastAsia="zh-CN"/>
        </w:rPr>
        <w:t>德清</w:t>
      </w:r>
      <w:r>
        <w:rPr>
          <w:rFonts w:hint="eastAsia" w:asciiTheme="minorEastAsia" w:hAnsiTheme="minorEastAsia"/>
          <w:sz w:val="24"/>
          <w:szCs w:val="24"/>
        </w:rPr>
        <w:t>兔宝宝</w:t>
      </w:r>
      <w:r>
        <w:rPr>
          <w:rFonts w:asciiTheme="minorEastAsia" w:hAnsiTheme="minorEastAsia"/>
          <w:sz w:val="24"/>
          <w:szCs w:val="24"/>
        </w:rPr>
        <w:t>金鼎</w:t>
      </w:r>
      <w:r>
        <w:rPr>
          <w:rFonts w:hint="eastAsia" w:asciiTheme="minorEastAsia" w:hAnsiTheme="minorEastAsia"/>
          <w:sz w:val="24"/>
          <w:szCs w:val="24"/>
        </w:rPr>
        <w:t>资产管理</w:t>
      </w:r>
      <w:r>
        <w:rPr>
          <w:rFonts w:ascii="宋体" w:hAnsi="宋体"/>
          <w:sz w:val="24"/>
          <w:szCs w:val="24"/>
        </w:rPr>
        <w:t>合伙</w:t>
      </w:r>
      <w:r>
        <w:rPr>
          <w:rFonts w:hint="eastAsia"/>
          <w:sz w:val="24"/>
          <w:szCs w:val="24"/>
          <w:lang w:eastAsia="zh-CN"/>
        </w:rPr>
        <w:t>企业</w:t>
      </w:r>
      <w:r>
        <w:rPr>
          <w:rFonts w:hint="eastAsia" w:asciiTheme="minorEastAsia" w:hAnsiTheme="minorEastAsia"/>
          <w:sz w:val="24"/>
          <w:szCs w:val="24"/>
        </w:rPr>
        <w:t>（</w:t>
      </w:r>
      <w:r>
        <w:rPr>
          <w:rFonts w:asciiTheme="minorEastAsia" w:hAnsiTheme="minorEastAsia"/>
          <w:sz w:val="24"/>
          <w:szCs w:val="24"/>
        </w:rPr>
        <w:t>有限合伙）</w:t>
      </w:r>
      <w:r>
        <w:rPr>
          <w:rFonts w:hint="eastAsia" w:ascii="宋体" w:hAnsi="宋体"/>
          <w:sz w:val="24"/>
          <w:szCs w:val="24"/>
          <w:lang w:eastAsia="zh-CN"/>
        </w:rPr>
        <w:t>已经不</w:t>
      </w:r>
      <w:r>
        <w:rPr>
          <w:rFonts w:hint="eastAsia" w:ascii="宋体" w:hAnsi="宋体"/>
          <w:sz w:val="24"/>
          <w:szCs w:val="24"/>
          <w:lang w:val="en-US" w:eastAsia="zh-CN"/>
        </w:rPr>
        <w:t>能符合</w:t>
      </w:r>
      <w:r>
        <w:rPr>
          <w:rFonts w:hint="eastAsia" w:ascii="宋体" w:hAnsi="宋体"/>
          <w:sz w:val="24"/>
          <w:szCs w:val="24"/>
          <w:lang w:eastAsia="zh-CN"/>
        </w:rPr>
        <w:t>继续对外投资</w:t>
      </w:r>
      <w:r>
        <w:rPr>
          <w:rFonts w:hint="eastAsia" w:ascii="宋体" w:hAnsi="宋体"/>
          <w:sz w:val="24"/>
          <w:szCs w:val="24"/>
          <w:lang w:val="en-US" w:eastAsia="zh-CN"/>
        </w:rPr>
        <w:t>的需要</w:t>
      </w:r>
      <w:r>
        <w:rPr>
          <w:rFonts w:hint="eastAsia" w:ascii="宋体" w:hAnsi="宋体"/>
          <w:sz w:val="24"/>
          <w:szCs w:val="24"/>
          <w:lang w:eastAsia="zh-CN"/>
        </w:rPr>
        <w:t>，待该基金已投项目退出后将</w:t>
      </w:r>
      <w:r>
        <w:rPr>
          <w:rFonts w:hint="eastAsia" w:ascii="宋体" w:hAnsi="宋体"/>
          <w:sz w:val="24"/>
          <w:szCs w:val="24"/>
          <w:lang w:val="en-US" w:eastAsia="zh-CN"/>
        </w:rPr>
        <w:t>对其</w:t>
      </w:r>
      <w:r>
        <w:rPr>
          <w:rFonts w:hint="eastAsia" w:ascii="宋体" w:hAnsi="宋体"/>
          <w:sz w:val="24"/>
          <w:szCs w:val="24"/>
          <w:lang w:eastAsia="zh-CN"/>
        </w:rPr>
        <w:t>进行清算</w:t>
      </w:r>
      <w:r>
        <w:rPr>
          <w:rFonts w:hint="eastAsia" w:ascii="宋体" w:hAnsi="宋体"/>
          <w:sz w:val="24"/>
          <w:szCs w:val="24"/>
          <w:lang w:val="en-US" w:eastAsia="zh-CN"/>
        </w:rPr>
        <w:t>退出</w:t>
      </w:r>
      <w:r>
        <w:rPr>
          <w:rFonts w:hint="eastAsia" w:ascii="宋体" w:hAnsi="宋体"/>
          <w:sz w:val="24"/>
          <w:szCs w:val="24"/>
          <w:lang w:eastAsia="zh-CN"/>
        </w:rPr>
        <w:t>。</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w:t>
      </w:r>
      <w:r>
        <w:rPr>
          <w:rFonts w:hint="eastAsia" w:asciiTheme="minorEastAsia" w:hAnsiTheme="minorEastAsia"/>
          <w:sz w:val="24"/>
          <w:szCs w:val="24"/>
        </w:rPr>
        <w:t>、</w:t>
      </w:r>
      <w:r>
        <w:rPr>
          <w:rFonts w:hint="eastAsia" w:asciiTheme="minorEastAsia" w:hAnsiTheme="minorEastAsia"/>
          <w:sz w:val="24"/>
          <w:szCs w:val="24"/>
          <w:lang w:val="en-US" w:eastAsia="zh-CN"/>
        </w:rPr>
        <w:t>2020年6月18日</w:t>
      </w:r>
      <w:r>
        <w:rPr>
          <w:rFonts w:hint="eastAsia" w:asciiTheme="minorEastAsia" w:hAnsiTheme="minorEastAsia"/>
          <w:sz w:val="24"/>
          <w:szCs w:val="24"/>
        </w:rPr>
        <w:t>，</w:t>
      </w:r>
      <w:r>
        <w:rPr>
          <w:rFonts w:hint="eastAsia" w:asciiTheme="minorEastAsia" w:hAnsiTheme="minorEastAsia"/>
          <w:sz w:val="24"/>
          <w:szCs w:val="24"/>
          <w:lang w:eastAsia="zh-CN"/>
        </w:rPr>
        <w:t>公司全资子公司德华兔宝宝投资管理有限公司（以下简称“兔宝宝投资公司”）</w:t>
      </w:r>
      <w:r>
        <w:rPr>
          <w:rFonts w:hint="eastAsia" w:asciiTheme="minorEastAsia" w:hAnsiTheme="minorEastAsia"/>
          <w:sz w:val="24"/>
          <w:szCs w:val="24"/>
        </w:rPr>
        <w:t>与方圆金鼎签署了《</w:t>
      </w:r>
      <w:r>
        <w:rPr>
          <w:rFonts w:hint="eastAsia" w:asciiTheme="minorEastAsia" w:hAnsiTheme="minorEastAsia"/>
          <w:sz w:val="24"/>
          <w:szCs w:val="24"/>
          <w:lang w:eastAsia="zh-CN"/>
        </w:rPr>
        <w:t>樟树市盛元金鼎投资管理中心（有限合伙）合伙协议</w:t>
      </w:r>
      <w:r>
        <w:rPr>
          <w:rFonts w:hint="eastAsia" w:asciiTheme="minorEastAsia" w:hAnsiTheme="minorEastAsia"/>
          <w:sz w:val="24"/>
          <w:szCs w:val="24"/>
        </w:rPr>
        <w:t>》，</w:t>
      </w:r>
      <w:r>
        <w:rPr>
          <w:rFonts w:hint="eastAsia" w:asciiTheme="minorEastAsia" w:hAnsiTheme="minorEastAsia"/>
          <w:sz w:val="24"/>
          <w:szCs w:val="24"/>
          <w:lang w:eastAsia="zh-CN"/>
        </w:rPr>
        <w:t>共同设立樟树市盛元金鼎投资管理中心（有限合伙），</w:t>
      </w:r>
      <w:r>
        <w:rPr>
          <w:rFonts w:hint="eastAsia" w:asciiTheme="minorEastAsia" w:hAnsiTheme="minorEastAsia"/>
          <w:sz w:val="24"/>
          <w:szCs w:val="24"/>
          <w:lang w:val="en-US" w:eastAsia="zh-CN"/>
        </w:rPr>
        <w:t>作为产业基金后续的投资主体。</w:t>
      </w:r>
      <w:r>
        <w:rPr>
          <w:rFonts w:hint="eastAsia" w:asciiTheme="minorEastAsia" w:hAnsiTheme="minorEastAsia"/>
          <w:sz w:val="24"/>
          <w:szCs w:val="24"/>
          <w:lang w:eastAsia="zh-CN"/>
        </w:rPr>
        <w:t>根据协议约定，该基金总规模</w:t>
      </w:r>
      <w:r>
        <w:rPr>
          <w:rFonts w:hint="eastAsia" w:asciiTheme="minorEastAsia" w:hAnsiTheme="minorEastAsia"/>
          <w:sz w:val="24"/>
          <w:szCs w:val="24"/>
          <w:lang w:val="en-US" w:eastAsia="zh-CN"/>
        </w:rPr>
        <w:t>2亿元，</w:t>
      </w:r>
      <w:r>
        <w:rPr>
          <w:rFonts w:hint="eastAsia" w:asciiTheme="minorEastAsia" w:hAnsiTheme="minorEastAsia"/>
          <w:sz w:val="24"/>
          <w:szCs w:val="24"/>
          <w:lang w:eastAsia="zh-CN"/>
        </w:rPr>
        <w:t>兔宝宝投资公司</w:t>
      </w:r>
      <w:r>
        <w:rPr>
          <w:rFonts w:hint="eastAsia" w:asciiTheme="minorEastAsia" w:hAnsiTheme="minorEastAsia"/>
          <w:sz w:val="24"/>
          <w:szCs w:val="24"/>
          <w:lang w:val="en-US" w:eastAsia="zh-CN"/>
        </w:rPr>
        <w:t>作为有限合伙人计划出资规模为人民币19,800万元，占基金99%份额，方圆金鼎作为普通合伙人计划出资200万元，占基金1%份额。</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Style w:val="4"/>
          <w:rFonts w:hint="eastAsia" w:ascii="宋体" w:hAnsi="宋体"/>
          <w:color w:val="000000"/>
          <w:sz w:val="24"/>
          <w:lang w:val="en-US" w:eastAsia="zh-CN"/>
        </w:rPr>
      </w:pPr>
      <w:r>
        <w:rPr>
          <w:rFonts w:hint="eastAsia" w:asciiTheme="minorEastAsia" w:hAnsiTheme="minorEastAsia"/>
          <w:sz w:val="24"/>
          <w:szCs w:val="24"/>
          <w:lang w:val="en-US" w:eastAsia="zh-CN"/>
        </w:rPr>
        <w:t>3</w:t>
      </w:r>
      <w:r>
        <w:rPr>
          <w:rFonts w:hint="eastAsia" w:asciiTheme="minorEastAsia" w:hAnsiTheme="minorEastAsia"/>
          <w:sz w:val="24"/>
          <w:szCs w:val="24"/>
        </w:rPr>
        <w:t>、</w:t>
      </w:r>
      <w:r>
        <w:rPr>
          <w:rFonts w:hint="eastAsia" w:asciiTheme="minorEastAsia" w:hAnsiTheme="minorEastAsia"/>
          <w:sz w:val="24"/>
          <w:szCs w:val="24"/>
          <w:lang w:val="en-US" w:eastAsia="zh-CN"/>
        </w:rPr>
        <w:t>2020年6月18日</w:t>
      </w:r>
      <w:r>
        <w:rPr>
          <w:rFonts w:hint="eastAsia" w:asciiTheme="minorEastAsia" w:hAnsiTheme="minorEastAsia"/>
          <w:sz w:val="24"/>
          <w:szCs w:val="24"/>
        </w:rPr>
        <w:t>公司第</w:t>
      </w:r>
      <w:r>
        <w:rPr>
          <w:rFonts w:hint="eastAsia" w:asciiTheme="minorEastAsia" w:hAnsiTheme="minorEastAsia"/>
          <w:sz w:val="24"/>
          <w:szCs w:val="24"/>
          <w:lang w:eastAsia="zh-CN"/>
        </w:rPr>
        <w:t>七</w:t>
      </w:r>
      <w:r>
        <w:rPr>
          <w:rFonts w:hint="eastAsia" w:asciiTheme="minorEastAsia" w:hAnsiTheme="minorEastAsia"/>
          <w:sz w:val="24"/>
          <w:szCs w:val="24"/>
        </w:rPr>
        <w:t>届董事会第</w:t>
      </w:r>
      <w:r>
        <w:rPr>
          <w:rFonts w:hint="eastAsia" w:asciiTheme="minorEastAsia" w:hAnsiTheme="minorEastAsia"/>
          <w:sz w:val="24"/>
          <w:szCs w:val="24"/>
          <w:lang w:eastAsia="zh-CN"/>
        </w:rPr>
        <w:t>二</w:t>
      </w:r>
      <w:r>
        <w:rPr>
          <w:rFonts w:hint="eastAsia" w:asciiTheme="minorEastAsia" w:hAnsiTheme="minorEastAsia"/>
          <w:sz w:val="24"/>
          <w:szCs w:val="24"/>
        </w:rPr>
        <w:t>次会议审议通过了《关于</w:t>
      </w:r>
      <w:r>
        <w:rPr>
          <w:rFonts w:hint="eastAsia" w:asciiTheme="minorEastAsia" w:hAnsiTheme="minorEastAsia"/>
          <w:sz w:val="24"/>
          <w:szCs w:val="24"/>
          <w:lang w:eastAsia="zh-CN"/>
        </w:rPr>
        <w:t>全资子公司</w:t>
      </w:r>
      <w:r>
        <w:rPr>
          <w:rFonts w:hint="eastAsia" w:asciiTheme="minorEastAsia" w:hAnsiTheme="minorEastAsia"/>
          <w:sz w:val="24"/>
          <w:szCs w:val="24"/>
        </w:rPr>
        <w:t>对外投资设立产业投资基金（二期）的议案》</w:t>
      </w:r>
      <w:r>
        <w:rPr>
          <w:rFonts w:hint="eastAsia" w:asciiTheme="minorEastAsia" w:hAnsiTheme="minorEastAsia"/>
          <w:sz w:val="24"/>
          <w:szCs w:val="24"/>
          <w:lang w:eastAsia="zh-CN"/>
        </w:rPr>
        <w:t>，本议案经公司董事会审议通过后即可实施，无</w:t>
      </w:r>
      <w:r>
        <w:rPr>
          <w:rFonts w:hint="eastAsia" w:ascii="宋体" w:hAnsi="宋体"/>
          <w:color w:val="000000" w:themeColor="text1"/>
          <w:sz w:val="24"/>
          <w14:textFill>
            <w14:solidFill>
              <w14:schemeClr w14:val="tx1"/>
            </w14:solidFill>
          </w14:textFill>
        </w:rPr>
        <w:t>需经过股东大会批准或政府有关部门批准。同时授权公司管理层办理与此投资相关的所有后续事项，并签署与此投资相关的需要公司签署的所有文件。</w:t>
      </w:r>
      <w:r>
        <w:rPr>
          <w:rFonts w:hint="eastAsia" w:ascii="宋体" w:hAnsi="宋体"/>
          <w:color w:val="000000" w:themeColor="text1"/>
          <w:sz w:val="24"/>
          <w:lang w:eastAsia="zh-CN"/>
          <w14:textFill>
            <w14:solidFill>
              <w14:schemeClr w14:val="tx1"/>
            </w14:solidFill>
          </w14:textFill>
        </w:rPr>
        <w:t>上述事项不涉及关联交易，也不构成《上市公司重大资产重组管理办法》规定的重大资产重组。</w:t>
      </w:r>
    </w:p>
    <w:p>
      <w:pPr>
        <w:keepNext w:val="0"/>
        <w:keepLines w:val="0"/>
        <w:pageBreakBefore w:val="0"/>
        <w:widowControl w:val="0"/>
        <w:kinsoku/>
        <w:wordWrap/>
        <w:overflowPunct/>
        <w:topLinePunct w:val="0"/>
        <w:autoSpaceDE/>
        <w:autoSpaceDN/>
        <w:bidi w:val="0"/>
        <w:adjustRightInd/>
        <w:snapToGrid/>
        <w:spacing w:before="157" w:beforeLines="50" w:line="420" w:lineRule="exact"/>
        <w:ind w:left="0" w:leftChars="0" w:right="0" w:rightChars="0" w:firstLine="482" w:firstLineChars="200"/>
        <w:jc w:val="both"/>
        <w:textAlignment w:val="auto"/>
        <w:outlineLvl w:val="9"/>
        <w:rPr>
          <w:rFonts w:hint="eastAsia" w:asciiTheme="minorEastAsia" w:hAnsiTheme="minorEastAsia"/>
          <w:b/>
          <w:sz w:val="24"/>
          <w:szCs w:val="24"/>
          <w:lang w:eastAsia="zh-CN"/>
        </w:rPr>
      </w:pPr>
      <w:r>
        <w:rPr>
          <w:rFonts w:hint="eastAsia" w:asciiTheme="minorEastAsia" w:hAnsiTheme="minorEastAsia"/>
          <w:b/>
          <w:sz w:val="24"/>
          <w:szCs w:val="24"/>
        </w:rPr>
        <w:t xml:space="preserve">二、 </w:t>
      </w:r>
      <w:r>
        <w:rPr>
          <w:rFonts w:hint="eastAsia" w:asciiTheme="minorEastAsia" w:hAnsiTheme="minorEastAsia"/>
          <w:b/>
          <w:sz w:val="24"/>
          <w:szCs w:val="24"/>
          <w:lang w:eastAsia="zh-CN"/>
        </w:rPr>
        <w:t>关于《樟树市盛元金鼎投资管理中心（有限合伙）合伙协议》的基本情况</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asciiTheme="minorEastAsia" w:hAnsiTheme="minorEastAsia"/>
          <w:sz w:val="24"/>
          <w:szCs w:val="24"/>
        </w:rPr>
      </w:pPr>
      <w:r>
        <w:rPr>
          <w:rFonts w:hint="eastAsia" w:asciiTheme="minorEastAsia" w:hAnsiTheme="minorEastAsia"/>
          <w:sz w:val="24"/>
          <w:szCs w:val="24"/>
          <w:lang w:eastAsia="zh-CN"/>
        </w:rPr>
        <w:t>交易对手</w:t>
      </w:r>
      <w:r>
        <w:rPr>
          <w:rFonts w:hint="eastAsia" w:asciiTheme="minorEastAsia" w:hAnsiTheme="minorEastAsia"/>
          <w:sz w:val="24"/>
          <w:szCs w:val="24"/>
        </w:rPr>
        <w:t>名称：北京方圆金鼎投资管理有限公司</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asciiTheme="minorEastAsia" w:hAnsiTheme="minorEastAsia"/>
          <w:sz w:val="24"/>
          <w:szCs w:val="24"/>
        </w:rPr>
      </w:pPr>
      <w:r>
        <w:rPr>
          <w:rFonts w:hint="eastAsia" w:asciiTheme="minorEastAsia" w:hAnsiTheme="minorEastAsia"/>
          <w:sz w:val="24"/>
          <w:szCs w:val="24"/>
        </w:rPr>
        <w:t>类型：有限责任公司（法人独资）</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住所：北京市东城区东四十条甲22号1号楼5层</w:t>
      </w:r>
      <w:r>
        <w:rPr>
          <w:rFonts w:asciiTheme="minorEastAsia" w:hAnsiTheme="minorEastAsia"/>
          <w:sz w:val="24"/>
          <w:szCs w:val="24"/>
        </w:rPr>
        <w:t>A</w:t>
      </w:r>
      <w:r>
        <w:rPr>
          <w:rFonts w:hint="eastAsia" w:asciiTheme="minorEastAsia" w:hAnsiTheme="minorEastAsia"/>
          <w:sz w:val="24"/>
          <w:szCs w:val="24"/>
        </w:rPr>
        <w:t>6</w:t>
      </w:r>
      <w:r>
        <w:rPr>
          <w:rFonts w:asciiTheme="minorEastAsia" w:hAnsiTheme="minorEastAsia"/>
          <w:sz w:val="24"/>
          <w:szCs w:val="24"/>
        </w:rPr>
        <w:t>02</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asciiTheme="minorEastAsia" w:hAnsiTheme="minorEastAsia"/>
          <w:sz w:val="24"/>
          <w:szCs w:val="24"/>
        </w:rPr>
      </w:pPr>
      <w:r>
        <w:rPr>
          <w:rFonts w:hint="eastAsia" w:asciiTheme="minorEastAsia" w:hAnsiTheme="minorEastAsia"/>
          <w:sz w:val="24"/>
          <w:szCs w:val="24"/>
        </w:rPr>
        <w:t xml:space="preserve">法定代表人：刘扬 </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asciiTheme="minorEastAsia" w:hAnsiTheme="minorEastAsia"/>
          <w:sz w:val="24"/>
          <w:szCs w:val="24"/>
        </w:rPr>
      </w:pPr>
      <w:r>
        <w:rPr>
          <w:rFonts w:hint="eastAsia" w:asciiTheme="minorEastAsia" w:hAnsiTheme="minorEastAsia"/>
          <w:sz w:val="24"/>
          <w:szCs w:val="24"/>
        </w:rPr>
        <w:t>注册资本：</w:t>
      </w:r>
      <w:r>
        <w:rPr>
          <w:rFonts w:asciiTheme="minorEastAsia" w:hAnsiTheme="minorEastAsia"/>
          <w:sz w:val="24"/>
          <w:szCs w:val="24"/>
        </w:rPr>
        <w:t>10</w:t>
      </w:r>
      <w:r>
        <w:rPr>
          <w:rFonts w:hint="eastAsia" w:asciiTheme="minorEastAsia" w:hAnsiTheme="minorEastAsia"/>
          <w:sz w:val="24"/>
          <w:szCs w:val="24"/>
        </w:rPr>
        <w:t xml:space="preserve">00万元人民币 </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asciiTheme="minorEastAsia" w:hAnsiTheme="minorEastAsia"/>
          <w:sz w:val="24"/>
          <w:szCs w:val="24"/>
        </w:rPr>
      </w:pPr>
      <w:r>
        <w:rPr>
          <w:rFonts w:hint="eastAsia" w:asciiTheme="minorEastAsia" w:hAnsiTheme="minorEastAsia"/>
          <w:sz w:val="24"/>
          <w:szCs w:val="24"/>
        </w:rPr>
        <w:t>经营范围：投资管理；资产管理；投资咨询；财务咨询（不得开展审计、验资、查账、评估、会计咨询、代理记账等需经专项审批的业务，不得出具相应的审计报告、验资报告、查账报告、评估报告等文字材料）；经济贸易咨询；市场调查；企业策划；企业管理咨询。（依法须经批准的项目，经相关部门批准后方可开展经营活动）</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asciiTheme="minorEastAsia" w:hAnsiTheme="minorEastAsia"/>
          <w:sz w:val="24"/>
          <w:szCs w:val="24"/>
        </w:rPr>
      </w:pPr>
      <w:r>
        <w:rPr>
          <w:rFonts w:hint="eastAsia" w:asciiTheme="minorEastAsia" w:hAnsiTheme="minorEastAsia"/>
          <w:sz w:val="24"/>
          <w:szCs w:val="24"/>
        </w:rPr>
        <w:t>统一社会信用代码：</w:t>
      </w:r>
      <w:r>
        <w:rPr>
          <w:rFonts w:asciiTheme="minorEastAsia" w:hAnsiTheme="minorEastAsia"/>
          <w:sz w:val="24"/>
          <w:szCs w:val="24"/>
        </w:rPr>
        <w:t>91110101306470590F</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asciiTheme="minorEastAsia" w:hAnsiTheme="minorEastAsia"/>
          <w:sz w:val="24"/>
          <w:szCs w:val="24"/>
        </w:rPr>
      </w:pPr>
      <w:r>
        <w:rPr>
          <w:rFonts w:hint="eastAsia" w:asciiTheme="minorEastAsia" w:hAnsiTheme="minorEastAsia"/>
          <w:sz w:val="24"/>
          <w:szCs w:val="24"/>
        </w:rPr>
        <w:t>方圆金鼎为北京同创金鼎投资管理有限公司的全资子公司，金鼎投资成立于2013年8月，总部位于北京，在杭州、广州分别开设了分支机构，形成了“融、投、管、退”的完整产业链条和全国重要区域的布局。公司致力于成为国内最具竞争力的产业股权投资机构，以大消费行业为核心辐射相关产业，现投资领域涵盖旅游、家居建材、体育、食品饮料、母婴、宠物、美妆、珠宝、医疗、智能制造和新材料等行业，专注打造产业股权投资、产业生态投资和投资者创业平台，为国内行业龙头企业制定专属的产业战略和资本战略，并通过全方位的投融资服务协助龙头企业实现产业整合和跨越式发展。</w:t>
      </w:r>
    </w:p>
    <w:p>
      <w:pPr>
        <w:keepNext w:val="0"/>
        <w:keepLines w:val="0"/>
        <w:pageBreakBefore w:val="0"/>
        <w:widowControl/>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方圆金鼎为本产业基金的普通合伙人、执行事务合伙人和基金管理人，已依照《私募投资基金监督管理暂行办法》及《私募投资基金管理人登记和备案办法（试行）》等规定登记为私募基金管理人。</w:t>
      </w:r>
    </w:p>
    <w:p>
      <w:pPr>
        <w:keepNext w:val="0"/>
        <w:keepLines w:val="0"/>
        <w:pageBreakBefore w:val="0"/>
        <w:widowControl/>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方圆金鼎与公司不存在关联关系或利益安排，未以直接或间接形式持有公司股份，与公司控股股东、实际控制人、董事、监事、高级管理人员不存在关联关系或利益安排。</w:t>
      </w:r>
    </w:p>
    <w:p>
      <w:pPr>
        <w:keepNext w:val="0"/>
        <w:keepLines w:val="0"/>
        <w:pageBreakBefore w:val="0"/>
        <w:widowControl w:val="0"/>
        <w:kinsoku/>
        <w:wordWrap/>
        <w:overflowPunct/>
        <w:topLinePunct w:val="0"/>
        <w:autoSpaceDE/>
        <w:autoSpaceDN/>
        <w:bidi w:val="0"/>
        <w:adjustRightInd/>
        <w:snapToGrid/>
        <w:spacing w:before="157" w:beforeLines="50" w:line="420" w:lineRule="exact"/>
        <w:ind w:left="0" w:leftChars="0" w:right="0" w:rightChars="0" w:firstLine="482" w:firstLineChars="200"/>
        <w:jc w:val="both"/>
        <w:textAlignment w:val="auto"/>
        <w:outlineLvl w:val="9"/>
        <w:rPr>
          <w:rFonts w:asciiTheme="minorEastAsia" w:hAnsiTheme="minorEastAsia"/>
          <w:sz w:val="24"/>
          <w:szCs w:val="24"/>
        </w:rPr>
      </w:pPr>
      <w:r>
        <w:rPr>
          <w:rFonts w:hint="eastAsia" w:asciiTheme="minorEastAsia" w:hAnsiTheme="minorEastAsia"/>
          <w:b/>
          <w:sz w:val="24"/>
          <w:szCs w:val="24"/>
          <w:lang w:eastAsia="zh-CN"/>
        </w:rPr>
        <w:t>（二）投资基金基本情况及合伙协议的主要内容</w:t>
      </w:r>
      <w:r>
        <w:rPr>
          <w:rFonts w:hint="eastAsia" w:asciiTheme="minorEastAsia" w:hAnsiTheme="minorEastAsia"/>
          <w:b/>
          <w:sz w:val="24"/>
          <w:szCs w:val="24"/>
        </w:rPr>
        <w:t xml:space="preserve"> </w:t>
      </w:r>
    </w:p>
    <w:p>
      <w:pPr>
        <w:pStyle w:val="5"/>
        <w:keepNext w:val="0"/>
        <w:keepLines w:val="0"/>
        <w:pageBreakBefore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1、基金名称：</w:t>
      </w:r>
      <w:r>
        <w:rPr>
          <w:rFonts w:hint="eastAsia" w:asciiTheme="minorEastAsia" w:hAnsiTheme="minorEastAsia"/>
          <w:sz w:val="24"/>
          <w:szCs w:val="24"/>
          <w:lang w:eastAsia="zh-CN"/>
        </w:rPr>
        <w:t>樟树市盛元金鼎投资管理中心（有限合伙）</w:t>
      </w:r>
    </w:p>
    <w:p>
      <w:pPr>
        <w:pStyle w:val="5"/>
        <w:keepNext w:val="0"/>
        <w:keepLines w:val="0"/>
        <w:pageBreakBefore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2、投资范围与投资策略</w:t>
      </w:r>
    </w:p>
    <w:p>
      <w:pPr>
        <w:pStyle w:val="5"/>
        <w:keepNext w:val="0"/>
        <w:keepLines w:val="0"/>
        <w:pageBreakBefore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 xml:space="preserve">合伙企业主要投资于中国境内的高成长性的未上市企业股权，企业可转债，兼顾投资于新三板已挂牌、股权类基金份额和普通合伙人认为符合合伙企业利益及法律规定的其他投资机会。具体投资方向聚焦于优质家居单品项目投资，重点关注全屋定制等创新性商业模式，以及致力于改造家居行业产业链，提高存货周转率，减少中间环节的ERP系统管理领域的创业公司。 </w:t>
      </w:r>
    </w:p>
    <w:p>
      <w:pPr>
        <w:pStyle w:val="5"/>
        <w:keepNext w:val="0"/>
        <w:keepLines w:val="0"/>
        <w:pageBreakBefore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3、基金规模：人民币</w:t>
      </w:r>
      <w:r>
        <w:rPr>
          <w:rFonts w:hint="eastAsia" w:asciiTheme="minorEastAsia" w:hAnsiTheme="minorEastAsia" w:cstheme="minorBidi"/>
          <w:kern w:val="2"/>
          <w:sz w:val="24"/>
          <w:szCs w:val="24"/>
          <w:lang w:val="en-US" w:eastAsia="zh-CN" w:bidi="ar-SA"/>
        </w:rPr>
        <w:t>20,000</w:t>
      </w:r>
      <w:r>
        <w:rPr>
          <w:rFonts w:hint="eastAsia" w:asciiTheme="minorEastAsia" w:hAnsiTheme="minorEastAsia" w:eastAsiaTheme="minorEastAsia" w:cstheme="minorBidi"/>
          <w:kern w:val="2"/>
          <w:sz w:val="24"/>
          <w:szCs w:val="24"/>
          <w:lang w:val="en-US" w:eastAsia="zh-CN" w:bidi="ar-SA"/>
        </w:rPr>
        <w:t>万元</w:t>
      </w:r>
    </w:p>
    <w:p>
      <w:pPr>
        <w:pStyle w:val="5"/>
        <w:keepNext w:val="0"/>
        <w:keepLines w:val="0"/>
        <w:pageBreakBefore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4、组织形式：有限合伙企业</w:t>
      </w:r>
    </w:p>
    <w:p>
      <w:pPr>
        <w:pStyle w:val="5"/>
        <w:keepNext w:val="0"/>
        <w:keepLines w:val="0"/>
        <w:pageBreakBefore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5、各合伙人认缴出资额、出资</w:t>
      </w:r>
      <w:r>
        <w:rPr>
          <w:rFonts w:hint="eastAsia" w:asciiTheme="minorEastAsia" w:hAnsiTheme="minorEastAsia" w:cstheme="minorBidi"/>
          <w:kern w:val="2"/>
          <w:sz w:val="24"/>
          <w:szCs w:val="24"/>
          <w:lang w:val="en-US" w:eastAsia="zh-CN" w:bidi="ar-SA"/>
        </w:rPr>
        <w:t>方式及承担责任方式：</w:t>
      </w:r>
    </w:p>
    <w:tbl>
      <w:tblPr>
        <w:tblStyle w:val="2"/>
        <w:tblW w:w="8802"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352"/>
        <w:gridCol w:w="1095"/>
        <w:gridCol w:w="2233"/>
        <w:gridCol w:w="1377"/>
        <w:gridCol w:w="174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73"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8520"/>
              </w:tabs>
              <w:kinsoku/>
              <w:wordWrap/>
              <w:overflowPunct/>
              <w:topLinePunct w:val="0"/>
              <w:autoSpaceDE/>
              <w:autoSpaceDN/>
              <w:bidi w:val="0"/>
              <w:adjustRightInd/>
              <w:snapToGrid/>
              <w:spacing w:before="60" w:after="60"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zh-TW" w:eastAsia="zh-TW" w:bidi="ar-SA"/>
              </w:rPr>
              <w:t>合伙人名称或姓名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8520"/>
              </w:tabs>
              <w:kinsoku/>
              <w:wordWrap/>
              <w:overflowPunct/>
              <w:topLinePunct w:val="0"/>
              <w:autoSpaceDE/>
              <w:autoSpaceDN/>
              <w:bidi w:val="0"/>
              <w:adjustRightInd/>
              <w:snapToGrid/>
              <w:spacing w:before="60" w:after="60"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zh-TW" w:eastAsia="zh-TW" w:bidi="ar-SA"/>
              </w:rPr>
              <w:t>身份</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8520"/>
              </w:tabs>
              <w:kinsoku/>
              <w:wordWrap/>
              <w:overflowPunct/>
              <w:topLinePunct w:val="0"/>
              <w:autoSpaceDE/>
              <w:autoSpaceDN/>
              <w:bidi w:val="0"/>
              <w:adjustRightInd/>
              <w:snapToGrid/>
              <w:spacing w:before="60" w:after="60"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zh-TW" w:eastAsia="zh-TW" w:bidi="ar-SA"/>
              </w:rPr>
              <w:t>认缴出资额（万元）</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8520"/>
              </w:tabs>
              <w:kinsoku/>
              <w:wordWrap/>
              <w:overflowPunct/>
              <w:topLinePunct w:val="0"/>
              <w:autoSpaceDE/>
              <w:autoSpaceDN/>
              <w:bidi w:val="0"/>
              <w:adjustRightInd/>
              <w:snapToGrid/>
              <w:spacing w:before="60" w:after="60"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zh-TW" w:eastAsia="zh-TW" w:bidi="ar-SA"/>
              </w:rPr>
              <w:t>出资方式</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8520"/>
              </w:tabs>
              <w:kinsoku/>
              <w:wordWrap/>
              <w:overflowPunct/>
              <w:topLinePunct w:val="0"/>
              <w:autoSpaceDE/>
              <w:autoSpaceDN/>
              <w:bidi w:val="0"/>
              <w:adjustRightInd/>
              <w:snapToGrid/>
              <w:spacing w:before="60" w:after="60"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zh-TW" w:eastAsia="zh-TW" w:bidi="ar-SA"/>
              </w:rPr>
              <w:t>承担责任方式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88"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北京方圆金鼎投资管理有限公司</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60" w:after="60" w:line="240" w:lineRule="auto"/>
              <w:jc w:val="center"/>
              <w:textAlignment w:val="auto"/>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GP</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200</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60" w:after="60"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货币</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无限责任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88"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德华兔宝宝投资管理有限公司</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60" w:after="60" w:line="240" w:lineRule="auto"/>
              <w:jc w:val="center"/>
              <w:textAlignment w:val="auto"/>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LP</w:t>
            </w: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19</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800</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60" w:after="60"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货币</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有限责任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45"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60" w:after="60"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zh-TW" w:eastAsia="zh-TW" w:bidi="ar-SA"/>
              </w:rPr>
              <w:t>合</w:t>
            </w:r>
            <w:r>
              <w:rPr>
                <w:rFonts w:hint="eastAsia" w:asciiTheme="minorEastAsia" w:hAnsiTheme="minorEastAsia" w:cstheme="minorBidi"/>
                <w:kern w:val="2"/>
                <w:sz w:val="24"/>
                <w:szCs w:val="24"/>
                <w:lang w:val="en-US" w:eastAsia="zh-CN" w:bidi="ar-SA"/>
              </w:rPr>
              <w:t xml:space="preserve">  </w:t>
            </w:r>
            <w:r>
              <w:rPr>
                <w:rFonts w:hint="eastAsia" w:asciiTheme="minorEastAsia" w:hAnsiTheme="minorEastAsia" w:eastAsiaTheme="minorEastAsia" w:cstheme="minorBidi"/>
                <w:kern w:val="2"/>
                <w:sz w:val="24"/>
                <w:szCs w:val="24"/>
                <w:lang w:val="zh-TW" w:eastAsia="zh-TW" w:bidi="ar-SA"/>
              </w:rPr>
              <w:t>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60" w:after="60" w:line="240" w:lineRule="auto"/>
              <w:jc w:val="center"/>
              <w:textAlignment w:val="auto"/>
              <w:rPr>
                <w:rFonts w:hint="eastAsia" w:asciiTheme="minorEastAsia" w:hAnsiTheme="minorEastAsia" w:eastAsiaTheme="minorEastAsia" w:cstheme="minorBidi"/>
                <w:kern w:val="2"/>
                <w:sz w:val="24"/>
                <w:szCs w:val="24"/>
                <w:lang w:val="en-US" w:eastAsia="zh-CN" w:bidi="ar-SA"/>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20</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60" w:after="60" w:line="240" w:lineRule="auto"/>
              <w:jc w:val="center"/>
              <w:textAlignment w:val="auto"/>
              <w:rPr>
                <w:rFonts w:hint="eastAsia" w:asciiTheme="minorEastAsia" w:hAnsiTheme="minorEastAsia" w:eastAsiaTheme="minorEastAsia" w:cstheme="minorBidi"/>
                <w:kern w:val="2"/>
                <w:sz w:val="24"/>
                <w:szCs w:val="24"/>
                <w:lang w:val="en-US" w:eastAsia="zh-CN" w:bidi="ar-SA"/>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before="60" w:after="60" w:line="240" w:lineRule="auto"/>
              <w:jc w:val="center"/>
              <w:textAlignment w:val="auto"/>
              <w:rPr>
                <w:rFonts w:hint="eastAsia" w:asciiTheme="minorEastAsia" w:hAnsiTheme="minorEastAsia" w:eastAsiaTheme="minorEastAsia" w:cstheme="minorBidi"/>
                <w:kern w:val="2"/>
                <w:sz w:val="24"/>
                <w:szCs w:val="24"/>
                <w:lang w:val="en-US" w:eastAsia="zh-CN" w:bidi="ar-SA"/>
              </w:rPr>
            </w:pPr>
          </w:p>
        </w:tc>
      </w:tr>
    </w:tbl>
    <w:p>
      <w:pPr>
        <w:pStyle w:val="5"/>
        <w:keepNext w:val="0"/>
        <w:keepLines w:val="0"/>
        <w:pageBreakBefore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6、</w:t>
      </w:r>
      <w:r>
        <w:rPr>
          <w:rFonts w:hint="eastAsia" w:asciiTheme="minorEastAsia" w:hAnsiTheme="minorEastAsia"/>
          <w:sz w:val="24"/>
          <w:szCs w:val="24"/>
          <w:lang w:eastAsia="zh-CN"/>
        </w:rPr>
        <w:t>基金期限：本合伙企业运作期限为自首次募集期结束之日（原则上以资金由合伙募集账户转入托管账户之日为准）起至满[七]年之日止。投资期为自首次募集期结束之日起五年。投资期结束后至合伙企业运作期限届满的期间为合伙企业的退出期。根据合伙企业的经营需要，普通合伙人可独立决定将合伙企业的投资期或退出期延长一年。继续延长的，需经全体合伙人一致同意。</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7、各合伙人地位权利及义务：</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w:t>
      </w:r>
      <w:r>
        <w:rPr>
          <w:rFonts w:hint="default" w:asciiTheme="minorEastAsia" w:hAnsiTheme="minorEastAsia"/>
          <w:sz w:val="24"/>
          <w:szCs w:val="24"/>
          <w:lang w:val="en-US" w:eastAsia="zh-CN"/>
        </w:rPr>
        <w:t>有限合伙人入伙</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default" w:asciiTheme="minorEastAsia" w:hAnsiTheme="minorEastAsia"/>
          <w:sz w:val="24"/>
          <w:szCs w:val="24"/>
          <w:lang w:val="en-US" w:eastAsia="zh-CN"/>
        </w:rPr>
        <w:t>除本协议另有约定外，合伙企业接纳新有限合伙人入伙的，应经普通合伙人及兔宝宝同意。新有限合伙人入伙应依法订立书面入伙协议，新有限合伙人同意在不变更本协议内容的情况下入伙的，仅需要该新有限合伙人签署本协议相关签字页。</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w:t>
      </w:r>
      <w:r>
        <w:rPr>
          <w:rFonts w:hint="default" w:asciiTheme="minorEastAsia" w:hAnsiTheme="minorEastAsia"/>
          <w:sz w:val="24"/>
          <w:szCs w:val="24"/>
          <w:lang w:val="en-US" w:eastAsia="zh-CN"/>
        </w:rPr>
        <w:t>有限合伙人退伙</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w:t>
      </w:r>
      <w:r>
        <w:rPr>
          <w:rFonts w:hint="default" w:asciiTheme="minorEastAsia" w:hAnsiTheme="minorEastAsia"/>
          <w:sz w:val="24"/>
          <w:szCs w:val="24"/>
          <w:lang w:val="en-US" w:eastAsia="zh-CN"/>
        </w:rPr>
        <w:t>在合伙企业存续期间，未经普通合伙人同意，有限合伙人不得要求退伙；</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w:t>
      </w:r>
      <w:r>
        <w:rPr>
          <w:rFonts w:hint="default" w:asciiTheme="minorEastAsia" w:hAnsiTheme="minorEastAsia"/>
          <w:sz w:val="24"/>
          <w:szCs w:val="24"/>
          <w:lang w:val="en-US" w:eastAsia="zh-CN"/>
        </w:rPr>
        <w:t>如有限合伙人发生《合伙企业法》规定被视为当然退伙的情形，对于该有限合伙人拟退出的合伙权益，普通合伙人有权自行或指定第三方第一顺序优先受让，退伙方以外的其他守约合伙人有权第二顺序优先受让。普通合伙人和其他守约合伙人放弃优先受让权的，合伙企业总认缴出资额相应减少；</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w:t>
      </w:r>
      <w:r>
        <w:rPr>
          <w:rFonts w:hint="default" w:asciiTheme="minorEastAsia" w:hAnsiTheme="minorEastAsia"/>
          <w:sz w:val="24"/>
          <w:szCs w:val="24"/>
          <w:lang w:val="en-US" w:eastAsia="zh-CN"/>
        </w:rPr>
        <w:t>有限合伙人退伙且未能依据本协议规定转让其合伙权益的，该有限合伙人已经缴纳的出资不在其退伙时退还；就其退伙前合伙企业所投资项目产生的项目投资收入，在合伙企业根据本协议向各合伙人分配投资收益时，按照本协议所约定的比例及金额向该已退伙的有限合伙人分配投资收益，直到该已退伙的有限合伙人收回全部实缴出资；如果在退伙前该已退伙的有限合伙人已经收回全部实缴出资，则不再向该已退伙的有限合伙人进行其他收益分配。</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w:t>
      </w:r>
      <w:r>
        <w:rPr>
          <w:rFonts w:hint="default" w:asciiTheme="minorEastAsia" w:hAnsiTheme="minorEastAsia"/>
          <w:sz w:val="24"/>
          <w:szCs w:val="24"/>
          <w:lang w:val="en-US" w:eastAsia="zh-CN"/>
        </w:rPr>
        <w:t>普通合伙人入伙</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default" w:asciiTheme="minorEastAsia" w:hAnsiTheme="minorEastAsia"/>
          <w:sz w:val="24"/>
          <w:szCs w:val="24"/>
          <w:lang w:val="en-US" w:eastAsia="zh-CN"/>
        </w:rPr>
        <w:t>除非普通合伙人将其合伙权益全部转让给继任的普通合伙人，否则合伙企业不接纳新的普通合伙人入伙。</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（4）</w:t>
      </w:r>
      <w:r>
        <w:rPr>
          <w:rFonts w:hint="default" w:asciiTheme="minorEastAsia" w:hAnsiTheme="minorEastAsia"/>
          <w:sz w:val="24"/>
          <w:szCs w:val="24"/>
          <w:lang w:val="en-US" w:eastAsia="zh-CN"/>
        </w:rPr>
        <w:t>普通合伙人退伙</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w:t>
      </w:r>
      <w:r>
        <w:rPr>
          <w:rFonts w:hint="default" w:asciiTheme="minorEastAsia" w:hAnsiTheme="minorEastAsia"/>
          <w:sz w:val="24"/>
          <w:szCs w:val="24"/>
          <w:lang w:val="en-US" w:eastAsia="zh-CN"/>
        </w:rPr>
        <w:t>普通合伙人在此承诺，除非普通合伙人将其合伙权益全部转让给继任的普通合伙人，在合伙企业按照本协议约定解散或清算之前，普通合伙人始终履行本协议项下的职责；在合伙企业解散或清算之前，不要求退伙；其自身亦不会采取任何行动主动解散或终止。</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w:t>
      </w:r>
      <w:r>
        <w:rPr>
          <w:rFonts w:hint="default" w:asciiTheme="minorEastAsia" w:hAnsiTheme="minorEastAsia"/>
          <w:sz w:val="24"/>
          <w:szCs w:val="24"/>
          <w:lang w:val="en-US" w:eastAsia="zh-CN"/>
        </w:rPr>
        <w:t>普通合伙人发生《合伙企业法》规定的当然退伙的情形时，除非合伙企业立即接纳了新的普通合伙人，否则合伙企业解散、进入清算程序。</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w:t>
      </w:r>
      <w:r>
        <w:rPr>
          <w:rFonts w:hint="default" w:asciiTheme="minorEastAsia" w:hAnsiTheme="minorEastAsia"/>
          <w:sz w:val="24"/>
          <w:szCs w:val="24"/>
          <w:lang w:val="en-US" w:eastAsia="zh-CN"/>
        </w:rPr>
        <w:t>若管理人发生破产、清算等客观上丧失继续管理私募投资基金的能力的情况时，普通合伙人可选择按照托管协议由托管人承担保障财产安全等责任（如有）；或另行聘任具有管理私募投资基金的能力且符合相关法律规定的新管理人管理本合伙企业，维持基金运营；或普通合伙人可选择依据本协议约定将其合伙份额进行转让；或选择使合伙企业解散、进入清算程序，按照本协议约定进行清算。若因发生管理人破产、清算等客观上丧失继续管理私募投资基金的能力的情况，而普通合伙人选择另行聘任新的管理人的，则聘任新的管理人应经持有三分之二以上合伙份额的合伙人同意。</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发生上述情况的，无论以何种方式解决，普通合伙人应保障合伙企业财产安全，如有纠纷各方应首先进行友好协商，协商不成的，任一方可按照本协议约定争议解决方式解决。</w:t>
      </w:r>
    </w:p>
    <w:p>
      <w:pPr>
        <w:keepNext w:val="0"/>
        <w:keepLines w:val="0"/>
        <w:pageBreakBefore w:val="0"/>
        <w:kinsoku/>
        <w:wordWrap/>
        <w:overflowPunct/>
        <w:topLinePunct w:val="0"/>
        <w:autoSpaceDE/>
        <w:autoSpaceDN/>
        <w:bidi w:val="0"/>
        <w:adjustRightInd/>
        <w:snapToGrid/>
        <w:spacing w:line="420" w:lineRule="exact"/>
        <w:ind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lang w:val="en-US" w:eastAsia="zh-CN"/>
        </w:rPr>
        <w:t xml:space="preserve">    8、</w:t>
      </w:r>
      <w:r>
        <w:rPr>
          <w:rFonts w:hint="eastAsia" w:asciiTheme="minorEastAsia" w:hAnsiTheme="minorEastAsia"/>
          <w:sz w:val="24"/>
          <w:szCs w:val="24"/>
        </w:rPr>
        <w:t xml:space="preserve">投资决策和投资后管理 </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本合伙企业设投资决策委员会，合伙企业的下列投资事项应由投资决策委员会审议通过。须经投资决策委员会批准的事项包括：（1）投资项目的决策；（2）已投资项目退出的决策；</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投资决策委员会共由2名委员组成，由执行事务合伙人和兔宝宝各委派1名代表，委员会做出的决议必须经全体委员一致通过。执行合伙人负责执行投资决策委员会的决议。</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asciiTheme="minorEastAsia" w:hAnsiTheme="minorEastAsia"/>
          <w:sz w:val="24"/>
          <w:szCs w:val="24"/>
        </w:rPr>
      </w:pPr>
      <w:r>
        <w:rPr>
          <w:rFonts w:hint="eastAsia" w:asciiTheme="minorEastAsia" w:hAnsiTheme="minorEastAsia"/>
          <w:sz w:val="24"/>
          <w:szCs w:val="24"/>
        </w:rPr>
        <w:t>经投资决策委员会表决通过后，在合伙企业存续期间内，针对已投资项目退出所得的可供分配现金可不进行分配，可按照本协议约定用于其他项目的投资。对投资组合进行投资后，普通合伙人应使合伙企业对投资组合进行持续监控，防范投资风险，并在适宜的时机实现投资退出。</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lang w:val="en-US" w:eastAsia="zh-CN"/>
        </w:rPr>
        <w:t>9、</w:t>
      </w:r>
      <w:r>
        <w:rPr>
          <w:rFonts w:hint="eastAsia" w:asciiTheme="minorEastAsia" w:hAnsiTheme="minorEastAsia"/>
          <w:sz w:val="24"/>
          <w:szCs w:val="24"/>
        </w:rPr>
        <w:t>投资退出方式</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合伙企业投资的项目主要通过以下方式退出：</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在中国境内A股市场进行首次公开发行股票并上市、借壳上市等；</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在全国中小企业股份转让系统、上海战略新兴板挂牌并进行公开转让；</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3</w:t>
      </w:r>
      <w:r>
        <w:rPr>
          <w:rFonts w:hint="eastAsia" w:asciiTheme="minorEastAsia" w:hAnsiTheme="minorEastAsia"/>
          <w:sz w:val="24"/>
          <w:szCs w:val="24"/>
          <w:lang w:eastAsia="zh-CN"/>
        </w:rPr>
        <w:t>）</w:t>
      </w:r>
      <w:r>
        <w:rPr>
          <w:rFonts w:hint="eastAsia" w:asciiTheme="minorEastAsia" w:hAnsiTheme="minorEastAsia"/>
          <w:sz w:val="24"/>
          <w:szCs w:val="24"/>
        </w:rPr>
        <w:t>被上市公司、并购基金或其他产业或机构投资者等收购；</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4</w:t>
      </w:r>
      <w:r>
        <w:rPr>
          <w:rFonts w:hint="eastAsia" w:asciiTheme="minorEastAsia" w:hAnsiTheme="minorEastAsia"/>
          <w:sz w:val="24"/>
          <w:szCs w:val="24"/>
          <w:lang w:eastAsia="zh-CN"/>
        </w:rPr>
        <w:t>）</w:t>
      </w:r>
      <w:r>
        <w:rPr>
          <w:rFonts w:hint="eastAsia" w:asciiTheme="minorEastAsia" w:hAnsiTheme="minorEastAsia"/>
          <w:sz w:val="24"/>
          <w:szCs w:val="24"/>
        </w:rPr>
        <w:t>在境外交易所上市；</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5</w:t>
      </w:r>
      <w:r>
        <w:rPr>
          <w:rFonts w:hint="eastAsia" w:asciiTheme="minorEastAsia" w:hAnsiTheme="minorEastAsia"/>
          <w:sz w:val="24"/>
          <w:szCs w:val="24"/>
          <w:lang w:eastAsia="zh-CN"/>
        </w:rPr>
        <w:t>）</w:t>
      </w:r>
      <w:r>
        <w:rPr>
          <w:rFonts w:hint="eastAsia" w:asciiTheme="minorEastAsia" w:hAnsiTheme="minorEastAsia"/>
          <w:sz w:val="24"/>
          <w:szCs w:val="24"/>
        </w:rPr>
        <w:t xml:space="preserve">股权回购、优先清算等； </w:t>
      </w:r>
    </w:p>
    <w:p>
      <w:pPr>
        <w:keepNext w:val="0"/>
        <w:keepLines w:val="0"/>
        <w:pageBreakBefore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6</w:t>
      </w:r>
      <w:r>
        <w:rPr>
          <w:rFonts w:hint="eastAsia" w:asciiTheme="minorEastAsia" w:hAnsiTheme="minorEastAsia"/>
          <w:sz w:val="24"/>
          <w:szCs w:val="24"/>
          <w:lang w:eastAsia="zh-CN"/>
        </w:rPr>
        <w:t>）</w:t>
      </w:r>
      <w:r>
        <w:rPr>
          <w:rFonts w:hint="eastAsia" w:asciiTheme="minorEastAsia" w:hAnsiTheme="minorEastAsia"/>
          <w:sz w:val="24"/>
          <w:szCs w:val="24"/>
        </w:rPr>
        <w:t>普通合伙人认可的其他退出方式。</w:t>
      </w:r>
    </w:p>
    <w:p>
      <w:pPr>
        <w:keepNext w:val="0"/>
        <w:keepLines w:val="0"/>
        <w:pageBreakBefore w:val="0"/>
        <w:kinsoku/>
        <w:wordWrap/>
        <w:overflowPunct/>
        <w:topLinePunct w:val="0"/>
        <w:autoSpaceDE/>
        <w:autoSpaceDN/>
        <w:bidi w:val="0"/>
        <w:adjustRightInd/>
        <w:snapToGrid/>
        <w:spacing w:afterAutospacing="0" w:line="420" w:lineRule="exact"/>
        <w:ind w:right="0" w:rightChars="0" w:firstLine="480" w:firstLineChars="20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10、管理费</w:t>
      </w:r>
    </w:p>
    <w:p>
      <w:pPr>
        <w:keepNext w:val="0"/>
        <w:keepLines w:val="0"/>
        <w:pageBreakBefore w:val="0"/>
        <w:kinsoku/>
        <w:wordWrap/>
        <w:overflowPunct/>
        <w:topLinePunct w:val="0"/>
        <w:autoSpaceDE/>
        <w:autoSpaceDN/>
        <w:bidi w:val="0"/>
        <w:adjustRightInd/>
        <w:snapToGrid/>
        <w:spacing w:afterAutospacing="0" w:line="420" w:lineRule="exact"/>
        <w:ind w:right="0" w:rightChars="0" w:firstLine="480" w:firstLineChars="20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作为普通合伙人和/或管理人对合伙企业提供管理及其他服务的对价，合伙企业应向普通合伙人和/或管理人（含管理人指定第三方，下同）支付管理费。为避免歧义，普通合伙人不承担任何管理费。</w:t>
      </w:r>
    </w:p>
    <w:p>
      <w:pPr>
        <w:keepNext w:val="0"/>
        <w:keepLines w:val="0"/>
        <w:pageBreakBefore w:val="0"/>
        <w:kinsoku/>
        <w:wordWrap/>
        <w:overflowPunct/>
        <w:topLinePunct w:val="0"/>
        <w:autoSpaceDE/>
        <w:autoSpaceDN/>
        <w:bidi w:val="0"/>
        <w:adjustRightInd/>
        <w:snapToGrid/>
        <w:spacing w:afterAutospacing="0" w:line="420" w:lineRule="exact"/>
        <w:ind w:right="0" w:rightChars="0" w:firstLine="480" w:firstLineChars="20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各有限合伙人按照各自有效投资金额承担管理费。有限合伙人按照其各自有效投资金额的2%/年承担管理费，并由合伙企业向普通合伙人支付管理费。管理费按日计算，有限合伙人每日应承担的向普通合伙人支付的管理费=当日该有限合伙人有效投资金额×2%÷365。如果存续期间有限合伙人有效投资金额调整的，则管理费应按照有效投资金额及实际存续期限分段计算。</w:t>
      </w:r>
    </w:p>
    <w:p>
      <w:pPr>
        <w:keepNext w:val="0"/>
        <w:keepLines w:val="0"/>
        <w:pageBreakBefore w:val="0"/>
        <w:kinsoku/>
        <w:wordWrap/>
        <w:overflowPunct/>
        <w:topLinePunct w:val="0"/>
        <w:autoSpaceDE/>
        <w:autoSpaceDN/>
        <w:bidi w:val="0"/>
        <w:adjustRightInd/>
        <w:snapToGrid/>
        <w:spacing w:afterAutospacing="0" w:line="420" w:lineRule="exact"/>
        <w:ind w:right="0" w:rightChars="0" w:firstLine="480" w:firstLineChars="20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普通合伙人可按照合伙企业与管理人之间的约定，指示合伙企业将其应收管理费的全部或部分支付给管理人。</w:t>
      </w:r>
    </w:p>
    <w:p>
      <w:pPr>
        <w:keepNext w:val="0"/>
        <w:keepLines w:val="0"/>
        <w:pageBreakBefore w:val="0"/>
        <w:kinsoku/>
        <w:wordWrap/>
        <w:overflowPunct/>
        <w:topLinePunct w:val="0"/>
        <w:autoSpaceDE/>
        <w:autoSpaceDN/>
        <w:bidi w:val="0"/>
        <w:adjustRightInd/>
        <w:snapToGrid/>
        <w:spacing w:afterAutospacing="0" w:line="420" w:lineRule="exact"/>
        <w:ind w:right="0" w:rightChars="0" w:firstLine="480" w:firstLineChars="200"/>
        <w:jc w:val="both"/>
        <w:textAlignment w:val="auto"/>
        <w:outlineLvl w:val="9"/>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11、</w:t>
      </w:r>
      <w:r>
        <w:rPr>
          <w:rFonts w:hint="default" w:asciiTheme="minorEastAsia" w:hAnsiTheme="minorEastAsia"/>
          <w:sz w:val="24"/>
          <w:szCs w:val="24"/>
          <w:lang w:val="en-US" w:eastAsia="zh-CN"/>
        </w:rPr>
        <w:t>会计年度</w:t>
      </w:r>
      <w:r>
        <w:rPr>
          <w:rFonts w:hint="eastAsia" w:asciiTheme="minorEastAsia" w:hAnsiTheme="minorEastAsia"/>
          <w:sz w:val="24"/>
          <w:szCs w:val="24"/>
          <w:lang w:val="en-US" w:eastAsia="zh-CN"/>
        </w:rPr>
        <w:t>：</w:t>
      </w:r>
      <w:r>
        <w:rPr>
          <w:rFonts w:hint="default" w:asciiTheme="minorEastAsia" w:hAnsiTheme="minorEastAsia"/>
          <w:sz w:val="24"/>
          <w:szCs w:val="24"/>
          <w:lang w:val="en-US" w:eastAsia="zh-CN"/>
        </w:rPr>
        <w:t>合伙企业的会计年度与日历年度相同；首个会计年度自合伙企业成立日起到当年的12月31日。</w:t>
      </w:r>
    </w:p>
    <w:p>
      <w:pPr>
        <w:keepNext w:val="0"/>
        <w:keepLines w:val="0"/>
        <w:pageBreakBefore w:val="0"/>
        <w:widowControl w:val="0"/>
        <w:kinsoku/>
        <w:wordWrap/>
        <w:overflowPunct/>
        <w:topLinePunct w:val="0"/>
        <w:autoSpaceDE/>
        <w:autoSpaceDN/>
        <w:bidi w:val="0"/>
        <w:adjustRightInd/>
        <w:snapToGrid/>
        <w:spacing w:before="157" w:beforeLines="50" w:line="420" w:lineRule="exact"/>
        <w:ind w:left="120" w:leftChars="0" w:right="0" w:rightChars="0" w:hanging="120" w:hangingChars="50"/>
        <w:jc w:val="both"/>
        <w:textAlignment w:val="auto"/>
        <w:outlineLvl w:val="9"/>
        <w:rPr>
          <w:rFonts w:asciiTheme="minorEastAsia" w:hAnsiTheme="minorEastAsia"/>
          <w:b/>
          <w:sz w:val="24"/>
          <w:szCs w:val="24"/>
        </w:rPr>
      </w:pPr>
      <w:r>
        <w:rPr>
          <w:rFonts w:hint="eastAsia" w:asciiTheme="minorEastAsia" w:hAnsiTheme="minorEastAsia"/>
          <w:b/>
          <w:sz w:val="24"/>
          <w:szCs w:val="24"/>
          <w:lang w:val="en-US" w:eastAsia="zh-CN"/>
        </w:rPr>
        <w:t xml:space="preserve">    </w:t>
      </w:r>
      <w:r>
        <w:rPr>
          <w:rFonts w:hint="eastAsia" w:asciiTheme="minorEastAsia" w:hAnsiTheme="minorEastAsia"/>
          <w:b/>
          <w:sz w:val="24"/>
          <w:szCs w:val="24"/>
          <w:lang w:eastAsia="zh-CN"/>
        </w:rPr>
        <w:t>三</w:t>
      </w:r>
      <w:r>
        <w:rPr>
          <w:rFonts w:hint="eastAsia" w:asciiTheme="minorEastAsia" w:hAnsiTheme="minorEastAsia"/>
          <w:b/>
          <w:sz w:val="24"/>
          <w:szCs w:val="24"/>
        </w:rPr>
        <w:t>、本次投资的目的和对公司的影响</w:t>
      </w:r>
    </w:p>
    <w:p>
      <w:pPr>
        <w:keepNext w:val="0"/>
        <w:keepLines w:val="0"/>
        <w:pageBreakBefore w:val="0"/>
        <w:kinsoku/>
        <w:wordWrap/>
        <w:overflowPunct/>
        <w:topLinePunct w:val="0"/>
        <w:autoSpaceDE/>
        <w:autoSpaceDN/>
        <w:bidi w:val="0"/>
        <w:adjustRightInd/>
        <w:snapToGrid/>
        <w:spacing w:line="420" w:lineRule="exact"/>
        <w:ind w:right="0" w:rightChars="0" w:firstLine="48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公司坚持持续创新，不断发展，在原有装饰材料业务的基础上，努力探索定制家居发展战略。公司与方圆金鼎联合投资设立的基金，将以投资参股、并购等方式，积极地拓展多品类成品家居、家居产业链优质服务资源和定制家居产品服务等方向，整合提升资源优势，利用先进ERP系统有效规划产品设计、制造及配送销售的产业链环节，创新家居生产销售运营模式。</w:t>
      </w:r>
    </w:p>
    <w:p>
      <w:pPr>
        <w:keepNext w:val="0"/>
        <w:keepLines w:val="0"/>
        <w:pageBreakBefore w:val="0"/>
        <w:kinsoku/>
        <w:wordWrap/>
        <w:overflowPunct/>
        <w:topLinePunct w:val="0"/>
        <w:autoSpaceDE/>
        <w:autoSpaceDN/>
        <w:bidi w:val="0"/>
        <w:adjustRightInd/>
        <w:snapToGrid/>
        <w:spacing w:line="420" w:lineRule="exact"/>
        <w:ind w:right="0" w:rightChars="0" w:firstLine="48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该产业投资基金投资方向符合公司产业发展战略，有利于加快公司产业整合步伐、加大技术资源储备与强化投资能力，进一步实现公司持续、健康、稳定发展。</w:t>
      </w:r>
    </w:p>
    <w:p>
      <w:pPr>
        <w:keepNext w:val="0"/>
        <w:keepLines w:val="0"/>
        <w:pageBreakBefore w:val="0"/>
        <w:kinsoku/>
        <w:wordWrap/>
        <w:overflowPunct/>
        <w:topLinePunct w:val="0"/>
        <w:autoSpaceDE/>
        <w:autoSpaceDN/>
        <w:bidi w:val="0"/>
        <w:adjustRightInd/>
        <w:snapToGrid/>
        <w:spacing w:line="420" w:lineRule="exact"/>
        <w:ind w:right="0" w:rightChars="0" w:firstLine="480"/>
        <w:jc w:val="both"/>
        <w:textAlignment w:val="auto"/>
        <w:outlineLvl w:val="9"/>
        <w:rPr>
          <w:rFonts w:asciiTheme="minorEastAsia" w:hAnsiTheme="minorEastAsia"/>
          <w:sz w:val="24"/>
          <w:szCs w:val="24"/>
        </w:rPr>
      </w:pPr>
      <w:r>
        <w:rPr>
          <w:rFonts w:hint="eastAsia" w:asciiTheme="minorEastAsia" w:hAnsiTheme="minorEastAsia"/>
          <w:sz w:val="24"/>
          <w:szCs w:val="24"/>
          <w:lang w:val="en-US" w:eastAsia="zh-CN"/>
        </w:rPr>
        <w:t>根据相关规则，公司下属公司本次投资后，</w:t>
      </w:r>
      <w:r>
        <w:rPr>
          <w:rFonts w:hint="eastAsia" w:asciiTheme="minorEastAsia" w:hAnsiTheme="minorEastAsia"/>
          <w:sz w:val="24"/>
          <w:szCs w:val="24"/>
          <w:lang w:eastAsia="zh-CN"/>
        </w:rPr>
        <w:t>樟树市盛元金鼎投资管理中心（有限合伙）</w:t>
      </w:r>
      <w:r>
        <w:rPr>
          <w:rFonts w:hint="eastAsia" w:asciiTheme="minorEastAsia" w:hAnsiTheme="minorEastAsia"/>
          <w:sz w:val="24"/>
          <w:szCs w:val="24"/>
          <w:lang w:val="en-US" w:eastAsia="zh-CN"/>
        </w:rPr>
        <w:t>将纳入公司合并报表范围，对公司的业绩产生一定影响。</w:t>
      </w:r>
    </w:p>
    <w:p>
      <w:pPr>
        <w:keepNext w:val="0"/>
        <w:keepLines w:val="0"/>
        <w:pageBreakBefore w:val="0"/>
        <w:widowControl w:val="0"/>
        <w:kinsoku/>
        <w:wordWrap/>
        <w:overflowPunct/>
        <w:topLinePunct w:val="0"/>
        <w:autoSpaceDE/>
        <w:autoSpaceDN/>
        <w:bidi w:val="0"/>
        <w:adjustRightInd/>
        <w:snapToGrid/>
        <w:spacing w:before="157" w:beforeLines="50" w:line="420" w:lineRule="exact"/>
        <w:ind w:left="0" w:leftChars="0" w:right="0" w:rightChars="0" w:firstLine="482" w:firstLineChars="200"/>
        <w:jc w:val="both"/>
        <w:textAlignment w:val="auto"/>
        <w:outlineLvl w:val="9"/>
        <w:rPr>
          <w:rFonts w:asciiTheme="minorEastAsia" w:hAnsiTheme="minorEastAsia"/>
          <w:b/>
          <w:sz w:val="24"/>
          <w:szCs w:val="24"/>
        </w:rPr>
      </w:pPr>
      <w:r>
        <w:rPr>
          <w:rFonts w:hint="eastAsia" w:asciiTheme="minorEastAsia" w:hAnsiTheme="minorEastAsia"/>
          <w:b/>
          <w:sz w:val="24"/>
          <w:szCs w:val="24"/>
          <w:lang w:eastAsia="zh-CN"/>
        </w:rPr>
        <w:t>四</w:t>
      </w:r>
      <w:r>
        <w:rPr>
          <w:rFonts w:hint="eastAsia" w:asciiTheme="minorEastAsia" w:hAnsiTheme="minorEastAsia"/>
          <w:b/>
          <w:sz w:val="24"/>
          <w:szCs w:val="24"/>
        </w:rPr>
        <w:t>、本次对外投资存在的风险</w:t>
      </w:r>
    </w:p>
    <w:p>
      <w:pPr>
        <w:keepNext w:val="0"/>
        <w:keepLines w:val="0"/>
        <w:pageBreakBefore w:val="0"/>
        <w:kinsoku/>
        <w:wordWrap/>
        <w:overflowPunct/>
        <w:topLinePunct w:val="0"/>
        <w:autoSpaceDE/>
        <w:autoSpaceDN/>
        <w:bidi w:val="0"/>
        <w:adjustRightInd/>
        <w:snapToGrid/>
        <w:spacing w:line="420" w:lineRule="exact"/>
        <w:ind w:right="0" w:rightChars="0"/>
        <w:jc w:val="both"/>
        <w:textAlignment w:val="auto"/>
        <w:outlineLvl w:val="9"/>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投资基金具有投资周期长，流动性较低等特点，公司本次的投资将面临较长的投资回收期，并且投资基金在投资过程中将受宏观经济、行业周期、投资标的公司经营管理、交易方案、投后管理等多种因素影响，如果不能对投资标的及交易方案进行充分有效的投前论证及投后管理，将面临投资失败及基金亏损的风险。本次投资对公司的财务状况和经营成果暂无重大影响。</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sz w:val="24"/>
          <w:szCs w:val="24"/>
        </w:rPr>
        <w:t>请投资者注意投资风险。</w:t>
      </w:r>
      <w:r>
        <w:rPr>
          <w:rFonts w:hint="eastAsia" w:asciiTheme="minorEastAsia" w:hAnsiTheme="minorEastAsia"/>
          <w:b/>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20" w:lineRule="exact"/>
        <w:ind w:left="0" w:leftChars="0" w:right="0" w:rightChars="0" w:firstLine="482" w:firstLineChars="200"/>
        <w:jc w:val="both"/>
        <w:textAlignment w:val="auto"/>
        <w:outlineLvl w:val="9"/>
        <w:rPr>
          <w:rFonts w:asciiTheme="minorEastAsia" w:hAnsiTheme="minorEastAsia"/>
          <w:b/>
          <w:sz w:val="24"/>
          <w:szCs w:val="24"/>
        </w:rPr>
      </w:pPr>
      <w:r>
        <w:rPr>
          <w:rFonts w:hint="eastAsia" w:asciiTheme="minorEastAsia" w:hAnsiTheme="minorEastAsia"/>
          <w:b/>
          <w:sz w:val="24"/>
          <w:szCs w:val="24"/>
          <w:lang w:eastAsia="zh-CN"/>
        </w:rPr>
        <w:t>五</w:t>
      </w:r>
      <w:r>
        <w:rPr>
          <w:rFonts w:hint="eastAsia" w:asciiTheme="minorEastAsia" w:hAnsiTheme="minorEastAsia"/>
          <w:b/>
          <w:sz w:val="24"/>
          <w:szCs w:val="24"/>
        </w:rPr>
        <w:t>、</w:t>
      </w:r>
      <w:r>
        <w:rPr>
          <w:rFonts w:hint="eastAsia" w:asciiTheme="minorEastAsia" w:hAnsiTheme="minorEastAsia"/>
          <w:b/>
          <w:sz w:val="24"/>
          <w:szCs w:val="24"/>
          <w:lang w:eastAsia="zh-CN"/>
        </w:rPr>
        <w:t>独立董事意见</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sz w:val="24"/>
          <w:szCs w:val="24"/>
        </w:rPr>
      </w:pPr>
      <w:bookmarkStart w:id="0" w:name="OLE_LINK1"/>
      <w:r>
        <w:rPr>
          <w:rFonts w:hint="eastAsia" w:asciiTheme="minorEastAsia" w:hAnsiTheme="minorEastAsia"/>
          <w:sz w:val="24"/>
          <w:szCs w:val="24"/>
        </w:rPr>
        <w:t>根据中国证监会《关于在上市公司建立独立董事制度的指导意见》、《深圳证券交易所股票上市规则》和《公司章程》等相关规定，我们</w:t>
      </w:r>
      <w:r>
        <w:rPr>
          <w:rFonts w:hint="eastAsia" w:asciiTheme="minorEastAsia" w:hAnsiTheme="minorEastAsia"/>
          <w:sz w:val="24"/>
          <w:szCs w:val="24"/>
          <w:lang w:eastAsia="zh-CN"/>
        </w:rPr>
        <w:t>公司</w:t>
      </w:r>
      <w:r>
        <w:rPr>
          <w:rFonts w:hint="eastAsia" w:asciiTheme="minorEastAsia" w:hAnsiTheme="minorEastAsia"/>
          <w:sz w:val="24"/>
          <w:szCs w:val="24"/>
        </w:rPr>
        <w:t>的独立董事，基于独立判断的立场，本着审慎、负责的态度，对</w:t>
      </w:r>
      <w:r>
        <w:rPr>
          <w:rFonts w:hint="eastAsia" w:asciiTheme="minorEastAsia" w:hAnsiTheme="minorEastAsia"/>
          <w:sz w:val="24"/>
          <w:szCs w:val="24"/>
          <w:lang w:eastAsia="zh-CN"/>
        </w:rPr>
        <w:t>本议案</w:t>
      </w:r>
      <w:r>
        <w:rPr>
          <w:rFonts w:hint="eastAsia" w:asciiTheme="minorEastAsia" w:hAnsiTheme="minorEastAsia"/>
          <w:sz w:val="24"/>
          <w:szCs w:val="24"/>
        </w:rPr>
        <w:t>发表独立意见如下：</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公司本次发起设立</w:t>
      </w:r>
      <w:r>
        <w:rPr>
          <w:rFonts w:hint="eastAsia" w:asciiTheme="minorEastAsia" w:hAnsiTheme="minorEastAsia"/>
          <w:sz w:val="24"/>
          <w:szCs w:val="24"/>
          <w:lang w:eastAsia="zh-CN"/>
        </w:rPr>
        <w:t>樟树市盛元金鼎投资管理中心（有限合伙）</w:t>
      </w:r>
      <w:r>
        <w:rPr>
          <w:rFonts w:hint="eastAsia" w:asciiTheme="minorEastAsia" w:hAnsiTheme="minorEastAsia"/>
          <w:sz w:val="24"/>
          <w:szCs w:val="24"/>
        </w:rPr>
        <w:t>有利于深入挖掘</w:t>
      </w:r>
      <w:r>
        <w:rPr>
          <w:rFonts w:asciiTheme="minorEastAsia" w:hAnsiTheme="minorEastAsia"/>
          <w:sz w:val="24"/>
          <w:szCs w:val="24"/>
        </w:rPr>
        <w:t>家居</w:t>
      </w:r>
      <w:r>
        <w:rPr>
          <w:rFonts w:hint="eastAsia" w:asciiTheme="minorEastAsia" w:hAnsiTheme="minorEastAsia"/>
          <w:sz w:val="24"/>
          <w:szCs w:val="24"/>
        </w:rPr>
        <w:t>消费服务生态产业链中、下游潜在的投资机会，协助</w:t>
      </w:r>
      <w:r>
        <w:rPr>
          <w:rFonts w:asciiTheme="minorEastAsia" w:hAnsiTheme="minorEastAsia"/>
          <w:sz w:val="24"/>
          <w:szCs w:val="24"/>
        </w:rPr>
        <w:t>公司</w:t>
      </w:r>
      <w:r>
        <w:rPr>
          <w:rFonts w:hint="eastAsia" w:asciiTheme="minorEastAsia" w:hAnsiTheme="minorEastAsia"/>
          <w:sz w:val="24"/>
          <w:szCs w:val="24"/>
        </w:rPr>
        <w:t>更好的实现“全屋定制解决方案综合服务商”的战略布局，为</w:t>
      </w:r>
      <w:r>
        <w:rPr>
          <w:rFonts w:asciiTheme="minorEastAsia" w:hAnsiTheme="minorEastAsia"/>
          <w:sz w:val="24"/>
          <w:szCs w:val="24"/>
        </w:rPr>
        <w:t>兔宝宝</w:t>
      </w:r>
      <w:r>
        <w:rPr>
          <w:rFonts w:hint="eastAsia" w:asciiTheme="minorEastAsia" w:hAnsiTheme="minorEastAsia"/>
          <w:sz w:val="24"/>
          <w:szCs w:val="24"/>
        </w:rPr>
        <w:t>的长远发展带来新的活力和更强劲的成长动力，符合维护公司发展利益的需要和股东利益最大化原则。</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sz w:val="24"/>
          <w:szCs w:val="24"/>
        </w:rPr>
        <w:t>我们同意《关于全资子公司对外投资设立产业投资基金（二期）</w:t>
      </w:r>
      <w:bookmarkStart w:id="1" w:name="_GoBack"/>
      <w:bookmarkEnd w:id="1"/>
      <w:r>
        <w:rPr>
          <w:rFonts w:hint="eastAsia" w:asciiTheme="minorEastAsia" w:hAnsiTheme="minorEastAsia"/>
          <w:sz w:val="24"/>
          <w:szCs w:val="24"/>
        </w:rPr>
        <w:t>的议案》。</w:t>
      </w:r>
      <w:bookmarkEnd w:id="0"/>
      <w:r>
        <w:rPr>
          <w:rFonts w:hint="eastAsia" w:asciiTheme="minorEastAsia" w:hAnsiTheme="minorEastAsia"/>
          <w:b/>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20" w:lineRule="exact"/>
        <w:ind w:left="0" w:leftChars="0" w:right="0" w:rightChars="0" w:firstLine="482"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 xml:space="preserve">六、其他相关事项说明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1、公司控股股东、实际控制人、持股 5%以上的股东、董事、监事、高级管理人员没有参与投资产业基金或在产业基金中任职；本次公司参与投资产业基金不会导致同业竞争；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Theme="minorEastAsia" w:hAnsiTheme="minorEastAsia"/>
          <w:b/>
          <w:sz w:val="24"/>
          <w:szCs w:val="24"/>
          <w:lang w:val="en-US" w:eastAsia="zh-CN"/>
        </w:rPr>
      </w:pPr>
      <w:r>
        <w:rPr>
          <w:rFonts w:hint="eastAsia" w:asciiTheme="minorEastAsia" w:hAnsiTheme="minorEastAsia"/>
          <w:sz w:val="24"/>
          <w:szCs w:val="24"/>
          <w:lang w:val="en-US" w:eastAsia="zh-CN"/>
        </w:rPr>
        <w:t>2、公司将严格按照深圳证券交易所中小企业板信息披露业务备忘录第12 号——上市公司与专业投资机构合作投资（2017年修订）及相关法规要求，持续关注该投资事项的进展情况，及时履行后续信息的披露义务。</w:t>
      </w:r>
    </w:p>
    <w:p>
      <w:pPr>
        <w:keepNext w:val="0"/>
        <w:keepLines w:val="0"/>
        <w:pageBreakBefore w:val="0"/>
        <w:widowControl w:val="0"/>
        <w:kinsoku/>
        <w:wordWrap/>
        <w:overflowPunct/>
        <w:topLinePunct w:val="0"/>
        <w:autoSpaceDE/>
        <w:autoSpaceDN/>
        <w:bidi w:val="0"/>
        <w:adjustRightInd/>
        <w:snapToGrid/>
        <w:spacing w:before="157" w:beforeLines="50" w:line="420" w:lineRule="exact"/>
        <w:ind w:left="0" w:leftChars="0" w:right="0" w:rightChars="0" w:firstLine="482" w:firstLineChars="200"/>
        <w:jc w:val="both"/>
        <w:textAlignment w:val="auto"/>
        <w:outlineLvl w:val="9"/>
        <w:rPr>
          <w:rFonts w:asciiTheme="minorEastAsia" w:hAnsiTheme="minorEastAsia"/>
          <w:b/>
          <w:sz w:val="24"/>
          <w:szCs w:val="24"/>
        </w:rPr>
      </w:pPr>
      <w:r>
        <w:rPr>
          <w:rFonts w:hint="eastAsia" w:asciiTheme="minorEastAsia" w:hAnsiTheme="minorEastAsia"/>
          <w:b/>
          <w:sz w:val="24"/>
          <w:szCs w:val="24"/>
          <w:lang w:val="en-US" w:eastAsia="zh-CN"/>
        </w:rPr>
        <w:t>七</w:t>
      </w:r>
      <w:r>
        <w:rPr>
          <w:rFonts w:hint="eastAsia" w:asciiTheme="minorEastAsia" w:hAnsiTheme="minorEastAsia"/>
          <w:b/>
          <w:sz w:val="24"/>
          <w:szCs w:val="24"/>
        </w:rPr>
        <w:t>、备查文件</w:t>
      </w:r>
    </w:p>
    <w:p>
      <w:pPr>
        <w:keepNext w:val="0"/>
        <w:keepLines w:val="0"/>
        <w:pageBreakBefore w:val="0"/>
        <w:kinsoku/>
        <w:wordWrap/>
        <w:overflowPunct/>
        <w:topLinePunct w:val="0"/>
        <w:autoSpaceDE/>
        <w:autoSpaceDN/>
        <w:bidi w:val="0"/>
        <w:adjustRightInd/>
        <w:snapToGrid/>
        <w:spacing w:line="420" w:lineRule="exact"/>
        <w:ind w:left="120" w:right="0" w:rightChars="0" w:hanging="120" w:hangingChars="5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1、第七届董事会第二次会议决议；</w:t>
      </w:r>
    </w:p>
    <w:p>
      <w:pPr>
        <w:keepNext w:val="0"/>
        <w:keepLines w:val="0"/>
        <w:pageBreakBefore w:val="0"/>
        <w:kinsoku/>
        <w:wordWrap/>
        <w:overflowPunct/>
        <w:topLinePunct w:val="0"/>
        <w:autoSpaceDE/>
        <w:autoSpaceDN/>
        <w:bidi w:val="0"/>
        <w:adjustRightInd/>
        <w:snapToGrid/>
        <w:spacing w:line="420" w:lineRule="exact"/>
        <w:ind w:left="120" w:right="0" w:rightChars="0" w:hanging="120" w:hangingChars="5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2、独立董事</w:t>
      </w:r>
      <w:r>
        <w:rPr>
          <w:rFonts w:hint="eastAsia" w:asciiTheme="minorEastAsia" w:hAnsiTheme="minorEastAsia"/>
          <w:sz w:val="24"/>
          <w:szCs w:val="24"/>
        </w:rPr>
        <w:t>关于全资子公司对外投资设立产业投资基金（二期）</w:t>
      </w:r>
      <w:r>
        <w:rPr>
          <w:rFonts w:hint="eastAsia" w:asciiTheme="minorEastAsia" w:hAnsiTheme="minorEastAsia"/>
          <w:sz w:val="24"/>
          <w:szCs w:val="24"/>
          <w:lang w:val="en-US" w:eastAsia="zh-CN"/>
        </w:rPr>
        <w:t>的议案的独立意见；</w:t>
      </w:r>
    </w:p>
    <w:p>
      <w:pPr>
        <w:keepNext w:val="0"/>
        <w:keepLines w:val="0"/>
        <w:pageBreakBefore w:val="0"/>
        <w:kinsoku/>
        <w:wordWrap/>
        <w:overflowPunct/>
        <w:topLinePunct w:val="0"/>
        <w:autoSpaceDE/>
        <w:autoSpaceDN/>
        <w:bidi w:val="0"/>
        <w:adjustRightInd/>
        <w:snapToGrid/>
        <w:spacing w:line="420" w:lineRule="exact"/>
        <w:ind w:left="120" w:right="0" w:rightChars="0" w:hanging="120" w:hangingChars="50"/>
        <w:jc w:val="both"/>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3、樟树市盛元金鼎投资管理中心（有限合伙）合伙协议及补充协议</w:t>
      </w:r>
      <w:r>
        <w:rPr>
          <w:rFonts w:hint="eastAsia"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120" w:leftChars="57" w:right="0" w:rightChars="0" w:firstLine="3720" w:firstLineChars="1550"/>
        <w:jc w:val="both"/>
        <w:textAlignment w:val="auto"/>
        <w:outlineLvl w:val="9"/>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left="120" w:leftChars="57" w:right="0" w:rightChars="0" w:firstLine="3720" w:firstLineChars="1550"/>
        <w:jc w:val="both"/>
        <w:textAlignment w:val="auto"/>
        <w:outlineLvl w:val="9"/>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left="120" w:leftChars="57" w:right="0" w:rightChars="0" w:firstLine="3720" w:firstLineChars="1550"/>
        <w:jc w:val="both"/>
        <w:textAlignment w:val="auto"/>
        <w:outlineLvl w:val="9"/>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left="120" w:leftChars="57" w:right="0" w:rightChars="0" w:firstLine="3720" w:firstLineChars="1550"/>
        <w:jc w:val="both"/>
        <w:textAlignment w:val="auto"/>
        <w:outlineLvl w:val="9"/>
        <w:rPr>
          <w:rFonts w:hint="eastAsia"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德华兔宝宝装饰新材股份有限公司</w:t>
      </w:r>
    </w:p>
    <w:p>
      <w:pPr>
        <w:keepNext w:val="0"/>
        <w:keepLines w:val="0"/>
        <w:pageBreakBefore w:val="0"/>
        <w:widowControl w:val="0"/>
        <w:kinsoku/>
        <w:wordWrap/>
        <w:overflowPunct/>
        <w:topLinePunct w:val="0"/>
        <w:autoSpaceDE/>
        <w:autoSpaceDN/>
        <w:bidi w:val="0"/>
        <w:adjustRightInd/>
        <w:snapToGrid/>
        <w:spacing w:line="420" w:lineRule="exact"/>
        <w:ind w:left="120" w:leftChars="57" w:right="0" w:rightChars="0" w:firstLine="3720" w:firstLineChars="1550"/>
        <w:jc w:val="both"/>
        <w:textAlignment w:val="auto"/>
        <w:outlineLvl w:val="9"/>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董</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事</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会</w:t>
      </w:r>
    </w:p>
    <w:p>
      <w:pPr>
        <w:keepNext w:val="0"/>
        <w:keepLines w:val="0"/>
        <w:pageBreakBefore w:val="0"/>
        <w:widowControl w:val="0"/>
        <w:kinsoku/>
        <w:wordWrap/>
        <w:overflowPunct/>
        <w:topLinePunct w:val="0"/>
        <w:autoSpaceDE/>
        <w:autoSpaceDN/>
        <w:bidi w:val="0"/>
        <w:adjustRightInd/>
        <w:snapToGrid/>
        <w:spacing w:line="420" w:lineRule="exact"/>
        <w:ind w:left="120" w:right="0" w:rightChars="0" w:hanging="120" w:hangingChars="50"/>
        <w:jc w:val="both"/>
        <w:textAlignment w:val="auto"/>
        <w:outlineLvl w:val="9"/>
        <w:rPr>
          <w:rFonts w:hint="default" w:asciiTheme="minorEastAsia" w:hAnsiTheme="minorEastAsia" w:eastAsiaTheme="minorEastAsia"/>
          <w:sz w:val="24"/>
          <w:szCs w:val="24"/>
          <w:lang w:val="en-US" w:eastAsia="zh-CN"/>
        </w:rPr>
      </w:pPr>
      <w:r>
        <w:rPr>
          <w:rFonts w:hint="eastAsia" w:asciiTheme="minorEastAsia" w:hAnsiTheme="minorEastAsia"/>
          <w:sz w:val="24"/>
          <w:szCs w:val="24"/>
        </w:rPr>
        <w:t xml:space="preserve">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 </w:t>
      </w:r>
      <w:r>
        <w:rPr>
          <w:rFonts w:hint="eastAsia" w:asciiTheme="minorEastAsia" w:hAnsiTheme="minorEastAsia"/>
          <w:sz w:val="24"/>
          <w:szCs w:val="24"/>
          <w:lang w:val="en-US" w:eastAsia="zh-CN"/>
        </w:rPr>
        <w:t>2020年6月19日</w:t>
      </w:r>
    </w:p>
    <w:p/>
    <w:sectPr>
      <w:pgSz w:w="11906" w:h="16838"/>
      <w:pgMar w:top="1417" w:right="1463" w:bottom="1417"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2BC150"/>
    <w:multiLevelType w:val="singleLevel"/>
    <w:tmpl w:val="AA2BC1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40048"/>
    <w:rsid w:val="0007587C"/>
    <w:rsid w:val="02B551B7"/>
    <w:rsid w:val="05586965"/>
    <w:rsid w:val="0620079A"/>
    <w:rsid w:val="0B3C67D0"/>
    <w:rsid w:val="0D294BDA"/>
    <w:rsid w:val="11C15456"/>
    <w:rsid w:val="13C938EE"/>
    <w:rsid w:val="15C329D5"/>
    <w:rsid w:val="18072320"/>
    <w:rsid w:val="1AD324BF"/>
    <w:rsid w:val="202E1F7C"/>
    <w:rsid w:val="210D0708"/>
    <w:rsid w:val="218877A8"/>
    <w:rsid w:val="227B3244"/>
    <w:rsid w:val="28265F0B"/>
    <w:rsid w:val="2E984359"/>
    <w:rsid w:val="2F295373"/>
    <w:rsid w:val="3B421B17"/>
    <w:rsid w:val="3CAB2F72"/>
    <w:rsid w:val="3FF22BC0"/>
    <w:rsid w:val="421F2BB3"/>
    <w:rsid w:val="44D77143"/>
    <w:rsid w:val="48A817C6"/>
    <w:rsid w:val="4B4351CD"/>
    <w:rsid w:val="4C4D26DA"/>
    <w:rsid w:val="4E1E4E2E"/>
    <w:rsid w:val="51FF79AE"/>
    <w:rsid w:val="53130536"/>
    <w:rsid w:val="54153726"/>
    <w:rsid w:val="54C40048"/>
    <w:rsid w:val="55465F86"/>
    <w:rsid w:val="55943244"/>
    <w:rsid w:val="5A3C7A9F"/>
    <w:rsid w:val="5AE50D38"/>
    <w:rsid w:val="5E046E6E"/>
    <w:rsid w:val="5E7B53B8"/>
    <w:rsid w:val="5EAD763C"/>
    <w:rsid w:val="60626D1D"/>
    <w:rsid w:val="626A4521"/>
    <w:rsid w:val="6C4B421A"/>
    <w:rsid w:val="6C6F7726"/>
    <w:rsid w:val="6D956690"/>
    <w:rsid w:val="701636AF"/>
    <w:rsid w:val="70310E96"/>
    <w:rsid w:val="716B15D1"/>
    <w:rsid w:val="719B77E1"/>
    <w:rsid w:val="71E236A7"/>
    <w:rsid w:val="71F37E85"/>
    <w:rsid w:val="72713B82"/>
    <w:rsid w:val="7468310C"/>
    <w:rsid w:val="75851BEB"/>
    <w:rsid w:val="75CA6236"/>
    <w:rsid w:val="766A5E13"/>
    <w:rsid w:val="7A5D33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da"/>
    <w:basedOn w:val="3"/>
    <w:qFormat/>
    <w:uiPriority w:val="0"/>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2016-08-04T08:34:00Z</dcterms:created>
  <dc:creator>Administrator</dc:creator>
  <cp:lastModifiedBy>admin</cp:lastModifiedBy>
  <dcterms:modified xsi:type="dcterms:W3CDTF">2020-06-18T08:50:11Z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