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0" w:firstLineChars="0"/>
        <w:jc w:val="left"/>
        <w:rPr>
          <w:rStyle w:val="6"/>
          <w:rFonts w:ascii="宋体" w:hAnsi="宋体"/>
          <w:color w:val="000000"/>
          <w:sz w:val="24"/>
        </w:rPr>
      </w:pPr>
      <w:r>
        <w:rPr>
          <w:rFonts w:hint="eastAsia" w:ascii="宋体" w:hAnsi="宋体" w:eastAsia="宋体" w:cs="宋体"/>
          <w:sz w:val="24"/>
          <w:szCs w:val="24"/>
        </w:rPr>
        <w:t>股票代码：002043           股票简称：兔宝宝             公告编号：</w:t>
      </w:r>
      <w:r>
        <w:rPr>
          <w:rStyle w:val="6"/>
          <w:rFonts w:hint="eastAsia" w:ascii="宋体" w:hAnsi="宋体" w:eastAsia="宋体"/>
          <w:color w:val="000000"/>
          <w:sz w:val="24"/>
        </w:rPr>
        <w:t>2020</w:t>
      </w:r>
      <w:r>
        <w:rPr>
          <w:rStyle w:val="6"/>
          <w:rFonts w:hint="eastAsia" w:ascii="宋体" w:hAnsi="宋体"/>
          <w:color w:val="000000"/>
          <w:sz w:val="24"/>
        </w:rPr>
        <w:t>-003</w:t>
      </w:r>
    </w:p>
    <w:p>
      <w:pPr>
        <w:spacing w:line="440" w:lineRule="exact"/>
        <w:ind w:firstLine="422"/>
        <w:jc w:val="center"/>
        <w:rPr>
          <w:rFonts w:ascii="Arial" w:hAnsi="Arial" w:cs="Arial"/>
          <w:b/>
          <w:szCs w:val="21"/>
        </w:rPr>
      </w:pPr>
    </w:p>
    <w:p>
      <w:pPr>
        <w:spacing w:line="440" w:lineRule="exact"/>
        <w:ind w:firstLine="602"/>
        <w:jc w:val="center"/>
        <w:rPr>
          <w:rFonts w:ascii="宋体" w:hAnsi="宋体" w:eastAsia="宋体" w:cs="宋体"/>
          <w:b/>
          <w:bCs/>
          <w:sz w:val="30"/>
          <w:szCs w:val="30"/>
        </w:rPr>
      </w:pPr>
      <w:r>
        <w:rPr>
          <w:rFonts w:hint="eastAsia" w:ascii="宋体" w:hAnsi="宋体" w:eastAsia="宋体" w:cs="宋体"/>
          <w:b/>
          <w:bCs/>
          <w:sz w:val="30"/>
          <w:szCs w:val="30"/>
        </w:rPr>
        <w:t>德华兔宝宝装饰新材股份有限公司</w:t>
      </w:r>
    </w:p>
    <w:p>
      <w:pPr>
        <w:spacing w:line="440" w:lineRule="exact"/>
        <w:ind w:firstLine="602"/>
        <w:jc w:val="center"/>
        <w:rPr>
          <w:rFonts w:ascii="宋体" w:hAnsi="宋体" w:eastAsia="宋体" w:cs="宋体"/>
          <w:b/>
          <w:bCs/>
          <w:sz w:val="30"/>
          <w:szCs w:val="30"/>
        </w:rPr>
      </w:pPr>
      <w:r>
        <w:rPr>
          <w:rFonts w:hint="eastAsia" w:ascii="宋体" w:hAnsi="宋体" w:eastAsia="宋体" w:cs="宋体"/>
          <w:b/>
          <w:bCs/>
          <w:sz w:val="30"/>
          <w:szCs w:val="30"/>
        </w:rPr>
        <w:t>回购报告书</w:t>
      </w:r>
    </w:p>
    <w:p>
      <w:pPr>
        <w:spacing w:line="440" w:lineRule="exact"/>
        <w:ind w:firstLine="420"/>
        <w:jc w:val="center"/>
        <w:rPr>
          <w:rFonts w:ascii="宋体" w:hAnsi="宋体" w:eastAsia="宋体"/>
          <w:bCs/>
          <w:szCs w:val="21"/>
        </w:rPr>
      </w:pPr>
    </w:p>
    <w:p>
      <w:pPr>
        <w:spacing w:line="440" w:lineRule="exact"/>
        <w:ind w:firstLine="480"/>
        <w:rPr>
          <w:rFonts w:ascii="宋体" w:hAnsi="宋体" w:eastAsia="宋体"/>
          <w:bCs/>
          <w:sz w:val="24"/>
          <w:szCs w:val="24"/>
        </w:rPr>
      </w:pPr>
      <w:r>
        <w:rPr>
          <w:rFonts w:ascii="宋体" w:hAnsi="宋体" w:eastAsia="宋体"/>
          <w:bCs/>
          <w:sz w:val="24"/>
          <w:szCs w:val="24"/>
        </w:rPr>
        <w:t>本公司及董事会全体成员保证信息披露内容的真实、准确和完整，没有虚假记载、误导性陈述或重大遗漏</w:t>
      </w:r>
      <w:r>
        <w:rPr>
          <w:rFonts w:hint="eastAsia" w:ascii="宋体" w:hAnsi="宋体" w:eastAsia="宋体"/>
          <w:bCs/>
          <w:sz w:val="24"/>
          <w:szCs w:val="24"/>
        </w:rPr>
        <w:t>。</w:t>
      </w:r>
    </w:p>
    <w:p>
      <w:pPr>
        <w:spacing w:beforeLines="50" w:line="440" w:lineRule="exact"/>
        <w:ind w:firstLine="482"/>
        <w:rPr>
          <w:rFonts w:ascii="宋体" w:hAnsi="宋体"/>
          <w:b/>
          <w:bCs/>
          <w:sz w:val="24"/>
        </w:rPr>
      </w:pPr>
      <w:r>
        <w:rPr>
          <w:rFonts w:hint="eastAsia" w:ascii="宋体" w:hAnsi="宋体"/>
          <w:b/>
          <w:bCs/>
          <w:sz w:val="24"/>
        </w:rPr>
        <w:t>重点提示：</w:t>
      </w:r>
    </w:p>
    <w:p>
      <w:pPr>
        <w:numPr>
          <w:ilvl w:val="0"/>
          <w:numId w:val="1"/>
        </w:numPr>
        <w:spacing w:line="440" w:lineRule="exact"/>
        <w:ind w:firstLine="480"/>
        <w:rPr>
          <w:rFonts w:ascii="宋体" w:hAnsi="宋体"/>
          <w:bCs/>
          <w:sz w:val="24"/>
        </w:rPr>
      </w:pPr>
      <w:r>
        <w:rPr>
          <w:rFonts w:hint="eastAsia" w:ascii="宋体" w:hAnsi="宋体"/>
          <w:bCs/>
          <w:sz w:val="24"/>
        </w:rPr>
        <w:t>公司拟使用自有资金以集中竞价交易方式回购公司股份，回购资金总额不低于人民币1亿元（含）且不超过人民币2亿元（含），回购价格不超过人民币8.50元/股（含），若按回购总金额上限2亿元人民币，回购价格上限人民币8.50元/股进行测算，预计可回购股份数量约为2,353万股，占公司目前总股本比例为3.04%，具体回购股份的数量、金额以回购期满时实际回购的股份数量、金额为准。回购实施期限自公司第六届董事会第二十七次会议审议通过本次回购股份方案之日起12个月内。</w:t>
      </w:r>
    </w:p>
    <w:p>
      <w:pPr>
        <w:numPr>
          <w:ilvl w:val="0"/>
          <w:numId w:val="1"/>
        </w:numPr>
        <w:spacing w:line="440" w:lineRule="exact"/>
        <w:ind w:firstLine="480"/>
        <w:rPr>
          <w:rFonts w:ascii="宋体" w:hAnsi="宋体"/>
          <w:bCs/>
          <w:sz w:val="24"/>
        </w:rPr>
      </w:pPr>
      <w:r>
        <w:rPr>
          <w:rFonts w:hint="eastAsia" w:ascii="宋体" w:hAnsi="宋体"/>
          <w:bCs/>
          <w:sz w:val="24"/>
        </w:rPr>
        <w:t>本次回购股份相关方案已经德华兔宝宝装饰新材股份有限公司</w:t>
      </w:r>
      <w:r>
        <w:rPr>
          <w:rFonts w:hint="eastAsia" w:ascii="宋体" w:hAnsi="宋体"/>
          <w:color w:val="000000"/>
          <w:kern w:val="0"/>
          <w:sz w:val="24"/>
        </w:rPr>
        <w:t>2020年1月6日</w:t>
      </w:r>
      <w:r>
        <w:rPr>
          <w:rFonts w:hint="eastAsia" w:ascii="宋体" w:hAnsi="宋体"/>
          <w:bCs/>
          <w:sz w:val="24"/>
        </w:rPr>
        <w:t>召开的公司第六届董事会第二十七次会议审议通过，无需提交股东大会审议。</w:t>
      </w:r>
    </w:p>
    <w:p>
      <w:pPr>
        <w:numPr>
          <w:ilvl w:val="0"/>
          <w:numId w:val="1"/>
        </w:numPr>
        <w:spacing w:line="440" w:lineRule="exact"/>
        <w:ind w:firstLine="480"/>
        <w:rPr>
          <w:rFonts w:ascii="宋体" w:hAnsi="宋体"/>
          <w:bCs/>
          <w:sz w:val="24"/>
        </w:rPr>
      </w:pPr>
      <w:r>
        <w:rPr>
          <w:rFonts w:hint="eastAsia" w:ascii="宋体" w:hAnsi="宋体"/>
          <w:bCs/>
          <w:sz w:val="24"/>
        </w:rPr>
        <w:t>公司已在中国证券登记结算有限责任公司深圳分公司开立了股份回购专用证券账户。</w:t>
      </w:r>
    </w:p>
    <w:p>
      <w:pPr>
        <w:numPr>
          <w:ilvl w:val="0"/>
          <w:numId w:val="1"/>
        </w:numPr>
        <w:spacing w:line="440" w:lineRule="exact"/>
        <w:ind w:firstLine="480"/>
        <w:rPr>
          <w:rFonts w:ascii="宋体" w:hAnsi="宋体"/>
          <w:bCs/>
          <w:sz w:val="24"/>
        </w:rPr>
      </w:pPr>
      <w:r>
        <w:rPr>
          <w:rFonts w:hint="eastAsia" w:ascii="宋体" w:hAnsi="宋体"/>
          <w:bCs/>
          <w:sz w:val="24"/>
        </w:rPr>
        <w:t>风险提示：</w:t>
      </w:r>
    </w:p>
    <w:p>
      <w:pPr>
        <w:numPr>
          <w:ilvl w:val="0"/>
          <w:numId w:val="2"/>
        </w:numPr>
        <w:spacing w:line="440" w:lineRule="exact"/>
        <w:ind w:firstLine="480"/>
        <w:rPr>
          <w:rFonts w:ascii="宋体" w:hAnsi="宋体"/>
          <w:bCs/>
          <w:sz w:val="24"/>
        </w:rPr>
      </w:pPr>
      <w:r>
        <w:rPr>
          <w:rFonts w:hint="eastAsia" w:ascii="宋体" w:hAnsi="宋体"/>
          <w:bCs/>
          <w:sz w:val="24"/>
        </w:rPr>
        <w:t>本次回购股份存在回购期限内股票价格持续超出回购价格上限，而导致本次回购计划无法顺利实施的风险。</w:t>
      </w:r>
    </w:p>
    <w:p>
      <w:pPr>
        <w:numPr>
          <w:ilvl w:val="0"/>
          <w:numId w:val="2"/>
        </w:numPr>
        <w:spacing w:line="440" w:lineRule="exact"/>
        <w:ind w:firstLine="480"/>
        <w:rPr>
          <w:rFonts w:ascii="宋体" w:hAnsi="宋体"/>
          <w:bCs/>
          <w:sz w:val="24"/>
        </w:rPr>
      </w:pPr>
      <w:r>
        <w:rPr>
          <w:rFonts w:hint="eastAsia" w:ascii="宋体" w:hAnsi="宋体"/>
          <w:bCs/>
          <w:sz w:val="24"/>
        </w:rPr>
        <w:t>本次回购股份用于对核心骨干员工实施股权激励或员工持股计划，可能因股权激励或员工持股计划未能经公司董事会和股东大会等决策机构审议通过、激励对象放弃认购等原因，导致已回购股票无法全部授出的风险。</w:t>
      </w:r>
    </w:p>
    <w:p>
      <w:pPr>
        <w:numPr>
          <w:ilvl w:val="0"/>
          <w:numId w:val="2"/>
        </w:numPr>
        <w:spacing w:line="440" w:lineRule="exact"/>
        <w:ind w:firstLine="480"/>
        <w:rPr>
          <w:rFonts w:ascii="宋体" w:hAnsi="宋体"/>
          <w:bCs/>
          <w:sz w:val="24"/>
        </w:rPr>
      </w:pPr>
      <w:r>
        <w:rPr>
          <w:rFonts w:hint="eastAsia" w:ascii="宋体" w:hAnsi="宋体"/>
          <w:bCs/>
          <w:sz w:val="24"/>
        </w:rPr>
        <w:t>公司将在回购期限内根据市场情况择机实施股份回购并根据进展情况及时履行信息披露义务。敬请投资者注意投资风险。</w:t>
      </w:r>
    </w:p>
    <w:p>
      <w:pPr>
        <w:spacing w:beforeLines="50" w:line="440" w:lineRule="exact"/>
        <w:ind w:firstLine="480"/>
        <w:rPr>
          <w:rFonts w:hint="eastAsia" w:ascii="宋体" w:hAnsi="宋体"/>
          <w:bCs/>
          <w:sz w:val="24"/>
        </w:rPr>
      </w:pPr>
      <w:r>
        <w:rPr>
          <w:rFonts w:hint="eastAsia" w:ascii="宋体" w:hAnsi="宋体"/>
          <w:bCs/>
          <w:sz w:val="24"/>
        </w:rPr>
        <w:t>根据《中华人民共和国公司法》、《中华人民共和国证券法》、《深圳证券交易所股票上市规则》、《深圳证券交易所上市公司回购股份实施细则》及《公司章程》相关法律法规的规定，德华兔宝宝装饰新材股份有限公司（以下简称“公司”）拟定了回购公司股份的回购报告书，具体内容如下：</w:t>
      </w:r>
    </w:p>
    <w:p>
      <w:pPr>
        <w:numPr>
          <w:ilvl w:val="0"/>
          <w:numId w:val="3"/>
        </w:numPr>
        <w:spacing w:beforeLines="50" w:line="440" w:lineRule="exact"/>
        <w:ind w:firstLine="482"/>
        <w:rPr>
          <w:rFonts w:ascii="宋体" w:hAnsi="宋体"/>
          <w:b/>
          <w:sz w:val="24"/>
        </w:rPr>
      </w:pPr>
      <w:r>
        <w:rPr>
          <w:rFonts w:hint="eastAsia" w:ascii="宋体" w:hAnsi="宋体"/>
          <w:b/>
          <w:sz w:val="24"/>
        </w:rPr>
        <w:t>回购方案的主要内容</w:t>
      </w:r>
    </w:p>
    <w:p>
      <w:pPr>
        <w:spacing w:line="440" w:lineRule="exact"/>
        <w:ind w:firstLine="482"/>
        <w:rPr>
          <w:rFonts w:ascii="宋体" w:hAnsi="宋体"/>
          <w:bCs/>
          <w:sz w:val="24"/>
        </w:rPr>
      </w:pPr>
      <w:r>
        <w:rPr>
          <w:rFonts w:hint="eastAsia" w:ascii="宋体" w:hAnsi="宋体"/>
          <w:b/>
          <w:sz w:val="24"/>
        </w:rPr>
        <w:t>1、回购股份的目的及用途</w:t>
      </w:r>
    </w:p>
    <w:p>
      <w:pPr>
        <w:spacing w:line="420" w:lineRule="exact"/>
        <w:ind w:firstLine="480"/>
        <w:rPr>
          <w:rFonts w:ascii="宋体" w:hAnsi="宋体" w:cs="宋体"/>
          <w:sz w:val="24"/>
        </w:rPr>
      </w:pPr>
      <w:r>
        <w:rPr>
          <w:rFonts w:hint="eastAsia" w:ascii="宋体" w:hAnsi="宋体" w:cs="宋体"/>
          <w:sz w:val="24"/>
        </w:rPr>
        <w:t>基于对公司未来发展的信心以及对公司价值的高度认可，同时完善公司长效激励机制，充分调动公司核心骨干员工的积极性，提高团队凝聚力和公司竞争力，有效推动公司的长远健康发展，公司拟使用自有资金以集中竞价方式回购公司股份。</w:t>
      </w:r>
    </w:p>
    <w:p>
      <w:pPr>
        <w:spacing w:line="420" w:lineRule="exact"/>
        <w:ind w:firstLine="480"/>
        <w:rPr>
          <w:rFonts w:ascii="宋体" w:hAnsi="宋体" w:cs="宋体"/>
          <w:sz w:val="24"/>
        </w:rPr>
      </w:pPr>
      <w:r>
        <w:rPr>
          <w:rFonts w:hint="eastAsia" w:ascii="宋体" w:hAnsi="宋体" w:cs="宋体"/>
          <w:sz w:val="24"/>
        </w:rPr>
        <w:t>回购的公司股份全部用于对核心骨干员工实施股权激励或员工持股计划。公司如在股份回购完成之后36个月内未能实施上述用途，或所回购的股份未全部用于上述用途，未使用的部分将依法予以注销。</w:t>
      </w:r>
    </w:p>
    <w:p>
      <w:pPr>
        <w:spacing w:line="420" w:lineRule="exact"/>
        <w:ind w:firstLine="480"/>
        <w:rPr>
          <w:rFonts w:ascii="宋体" w:hAnsi="宋体"/>
          <w:bCs/>
          <w:sz w:val="24"/>
        </w:rPr>
      </w:pPr>
      <w:r>
        <w:rPr>
          <w:rFonts w:hint="eastAsia" w:ascii="宋体" w:hAnsi="宋体" w:cs="宋体"/>
          <w:sz w:val="24"/>
        </w:rPr>
        <w:t>公司本次回购股份符合《深圳证券交易所上市公司回购股份实施细则》第十条的相关规定。</w:t>
      </w:r>
      <w:r>
        <w:rPr>
          <w:rFonts w:ascii="宋体" w:hAnsi="宋体" w:eastAsia="宋体" w:cs="宋体"/>
          <w:sz w:val="24"/>
          <w:szCs w:val="24"/>
        </w:rPr>
        <w:t xml:space="preserve"> </w:t>
      </w:r>
    </w:p>
    <w:p>
      <w:pPr>
        <w:spacing w:line="440" w:lineRule="exact"/>
        <w:ind w:firstLine="530" w:firstLineChars="220"/>
        <w:rPr>
          <w:rFonts w:ascii="宋体" w:hAnsi="宋体"/>
          <w:b/>
          <w:sz w:val="24"/>
        </w:rPr>
      </w:pPr>
      <w:r>
        <w:rPr>
          <w:rFonts w:hint="eastAsia" w:ascii="宋体" w:hAnsi="宋体"/>
          <w:b/>
          <w:sz w:val="24"/>
        </w:rPr>
        <w:t>2、回购股份的方式</w:t>
      </w:r>
    </w:p>
    <w:p>
      <w:pPr>
        <w:spacing w:line="440" w:lineRule="exact"/>
        <w:ind w:firstLine="480"/>
        <w:rPr>
          <w:rFonts w:ascii="宋体" w:hAnsi="宋体"/>
          <w:bCs/>
          <w:sz w:val="24"/>
        </w:rPr>
      </w:pPr>
      <w:r>
        <w:rPr>
          <w:rFonts w:hint="eastAsia" w:ascii="宋体" w:hAnsi="宋体"/>
          <w:bCs/>
          <w:sz w:val="24"/>
        </w:rPr>
        <w:t>公司采用集中竞价交易的方式从二级市场回购公司股份。</w:t>
      </w:r>
    </w:p>
    <w:p>
      <w:pPr>
        <w:spacing w:line="440" w:lineRule="exact"/>
        <w:ind w:firstLine="482"/>
        <w:rPr>
          <w:rFonts w:ascii="宋体" w:hAnsi="宋体"/>
          <w:b/>
          <w:sz w:val="24"/>
        </w:rPr>
      </w:pPr>
      <w:r>
        <w:rPr>
          <w:rFonts w:hint="eastAsia" w:ascii="宋体" w:hAnsi="宋体"/>
          <w:b/>
          <w:sz w:val="24"/>
        </w:rPr>
        <w:t>3、回购股份的价格区间</w:t>
      </w:r>
    </w:p>
    <w:p>
      <w:pPr>
        <w:spacing w:line="440" w:lineRule="exact"/>
        <w:ind w:firstLine="480"/>
        <w:rPr>
          <w:rFonts w:ascii="宋体" w:hAnsi="宋体"/>
          <w:bCs/>
          <w:sz w:val="24"/>
        </w:rPr>
      </w:pPr>
      <w:r>
        <w:rPr>
          <w:rFonts w:hint="eastAsia" w:ascii="宋体" w:hAnsi="宋体"/>
          <w:bCs/>
          <w:sz w:val="24"/>
        </w:rPr>
        <w:t>为保护投资者利益，结合近期公司股价，本次回购股份价格不超过人民币8.50元/股（含），未超过公司董事会通过回购股份决议前三十个交易日公司股票交易均价150%。具体回购价格由董事会授权公司管理层在回购实施期间结合公司股票价格、财务状况和经营状况确定。</w:t>
      </w:r>
    </w:p>
    <w:p>
      <w:pPr>
        <w:spacing w:line="440" w:lineRule="exact"/>
        <w:ind w:firstLine="480"/>
        <w:rPr>
          <w:rFonts w:ascii="宋体" w:hAnsi="宋体"/>
          <w:bCs/>
          <w:sz w:val="24"/>
        </w:rPr>
      </w:pPr>
      <w:r>
        <w:rPr>
          <w:rFonts w:hint="eastAsia" w:ascii="宋体" w:hAnsi="宋体"/>
          <w:bCs/>
          <w:sz w:val="24"/>
        </w:rPr>
        <w:t>若公司在回购期内发生资本公积转增股本、派发股票或现金红利、股票拆细、缩股、配股或发行股本权证等事宜，自股价除权除息之日起，相应调整回购价格上限。</w:t>
      </w:r>
    </w:p>
    <w:p>
      <w:pPr>
        <w:spacing w:line="440" w:lineRule="exact"/>
        <w:ind w:firstLine="482"/>
        <w:rPr>
          <w:rFonts w:ascii="宋体" w:hAnsi="宋体"/>
          <w:b/>
          <w:sz w:val="24"/>
        </w:rPr>
      </w:pPr>
      <w:r>
        <w:rPr>
          <w:rFonts w:hint="eastAsia" w:ascii="宋体" w:hAnsi="宋体"/>
          <w:b/>
          <w:sz w:val="24"/>
        </w:rPr>
        <w:t>4、回购股份的资金总额及资金来源</w:t>
      </w:r>
    </w:p>
    <w:p>
      <w:pPr>
        <w:spacing w:line="440" w:lineRule="exact"/>
        <w:ind w:firstLine="480"/>
        <w:rPr>
          <w:rFonts w:ascii="宋体" w:hAnsi="宋体"/>
          <w:bCs/>
          <w:sz w:val="24"/>
        </w:rPr>
      </w:pPr>
      <w:r>
        <w:rPr>
          <w:rFonts w:hint="eastAsia" w:ascii="宋体" w:hAnsi="宋体"/>
          <w:bCs/>
          <w:sz w:val="24"/>
        </w:rPr>
        <w:t>公司用于回购的资金总额不低于人民币1亿元（含）且不超过人民币2亿元（含），资金来源为公司自有资金或自筹资金。</w:t>
      </w:r>
      <w:r>
        <w:rPr>
          <w:rFonts w:hint="eastAsia" w:ascii="宋体" w:hAnsi="宋体" w:eastAsia="宋体" w:cs="宋体"/>
          <w:sz w:val="24"/>
          <w:szCs w:val="24"/>
        </w:rPr>
        <w:t>具体回购资金总额以回购期满时实际回购股份使用的资金总额为准。</w:t>
      </w:r>
    </w:p>
    <w:p>
      <w:pPr>
        <w:spacing w:line="440" w:lineRule="exact"/>
        <w:ind w:firstLine="482"/>
        <w:rPr>
          <w:rFonts w:ascii="宋体" w:hAnsi="宋体"/>
          <w:b/>
          <w:sz w:val="24"/>
        </w:rPr>
      </w:pPr>
      <w:r>
        <w:rPr>
          <w:rFonts w:hint="eastAsia" w:ascii="宋体" w:hAnsi="宋体"/>
          <w:b/>
          <w:sz w:val="24"/>
        </w:rPr>
        <w:t>5、回购股份的种类、数量及占总股本的比例</w:t>
      </w:r>
    </w:p>
    <w:p>
      <w:pPr>
        <w:spacing w:line="440" w:lineRule="exact"/>
        <w:ind w:firstLine="480"/>
        <w:rPr>
          <w:rFonts w:ascii="宋体" w:hAnsi="宋体" w:eastAsia="宋体" w:cs="宋体"/>
          <w:sz w:val="24"/>
          <w:szCs w:val="24"/>
        </w:rPr>
      </w:pPr>
      <w:r>
        <w:rPr>
          <w:rFonts w:hint="eastAsia" w:ascii="宋体" w:hAnsi="宋体" w:eastAsia="宋体" w:cs="宋体"/>
          <w:sz w:val="24"/>
          <w:szCs w:val="24"/>
        </w:rPr>
        <w:t>回购股份的种类为本公司已发行的A股股份。</w:t>
      </w:r>
    </w:p>
    <w:p>
      <w:pPr>
        <w:spacing w:line="440" w:lineRule="exact"/>
        <w:ind w:firstLine="480"/>
        <w:rPr>
          <w:rFonts w:ascii="宋体" w:hAnsi="宋体" w:eastAsia="宋体" w:cs="宋体"/>
          <w:sz w:val="24"/>
          <w:szCs w:val="24"/>
        </w:rPr>
      </w:pPr>
      <w:r>
        <w:rPr>
          <w:rFonts w:hint="eastAsia" w:ascii="宋体" w:hAnsi="宋体" w:eastAsia="宋体" w:cs="宋体"/>
          <w:sz w:val="24"/>
          <w:szCs w:val="24"/>
        </w:rPr>
        <w:t>回购的资金总额</w:t>
      </w:r>
      <w:r>
        <w:rPr>
          <w:rFonts w:hint="eastAsia" w:ascii="宋体" w:hAnsi="宋体"/>
          <w:bCs/>
          <w:sz w:val="24"/>
        </w:rPr>
        <w:t>不低于人民币1亿元（含）且不超过人民币2亿元（含）</w:t>
      </w:r>
      <w:r>
        <w:rPr>
          <w:rFonts w:hint="eastAsia" w:ascii="宋体" w:hAnsi="宋体" w:eastAsia="宋体" w:cs="宋体"/>
          <w:sz w:val="24"/>
          <w:szCs w:val="24"/>
        </w:rPr>
        <w:t>，若按回购金额上限2亿元人民币，回购价格上限人民币8.50元/股进行测算，预计回购股份为2,353万股,占公司目前总股本的3.04%。具体回购股份的数量以回购期满时实际回购的股份数量为准。具体回购股份的数量以回购期满时实际回购的股份数量为准。</w:t>
      </w:r>
    </w:p>
    <w:p>
      <w:pPr>
        <w:spacing w:line="440" w:lineRule="exact"/>
        <w:ind w:firstLine="480"/>
        <w:rPr>
          <w:rFonts w:ascii="宋体" w:hAnsi="宋体"/>
          <w:bCs/>
          <w:sz w:val="24"/>
        </w:rPr>
      </w:pPr>
      <w:r>
        <w:rPr>
          <w:rFonts w:hint="eastAsia" w:ascii="宋体" w:hAnsi="宋体" w:eastAsia="宋体" w:cs="宋体"/>
          <w:sz w:val="24"/>
          <w:szCs w:val="24"/>
        </w:rPr>
        <w:t>若公司在回购期内发生资本公积转增股本、派发股票或现金红利、股票拆细、缩股、配股、或发行股本权证等事宜，自股价除权除息之日起，相应调整回购股份数量。</w:t>
      </w:r>
    </w:p>
    <w:p>
      <w:pPr>
        <w:spacing w:beforeLines="50" w:line="440" w:lineRule="exact"/>
        <w:ind w:firstLine="482"/>
        <w:rPr>
          <w:rFonts w:ascii="宋体" w:hAnsi="宋体"/>
          <w:b/>
          <w:sz w:val="24"/>
        </w:rPr>
      </w:pPr>
      <w:r>
        <w:rPr>
          <w:rFonts w:hint="eastAsia" w:ascii="宋体" w:hAnsi="宋体"/>
          <w:b/>
          <w:sz w:val="24"/>
        </w:rPr>
        <w:t>6、回购股份的期限</w:t>
      </w:r>
    </w:p>
    <w:p>
      <w:pPr>
        <w:spacing w:line="420" w:lineRule="exact"/>
        <w:ind w:firstLine="480"/>
        <w:rPr>
          <w:rFonts w:ascii="宋体" w:hAnsi="宋体" w:eastAsia="宋体" w:cs="宋体"/>
          <w:sz w:val="24"/>
          <w:szCs w:val="24"/>
        </w:rPr>
      </w:pPr>
      <w:r>
        <w:rPr>
          <w:rFonts w:hint="eastAsia" w:ascii="宋体" w:hAnsi="宋体" w:eastAsia="宋体" w:cs="宋体"/>
          <w:sz w:val="24"/>
          <w:szCs w:val="24"/>
        </w:rPr>
        <w:t>回购股份实施期限为自公司第六届董事会第二十七次会议审议通过本次回购股份方案之日起12个月内。回购方案实施期间，公司股票因筹划重大事项连续停牌十个交易日以上的，回购期限可予以顺延，但顺延后期限仍不得超过12个月，若出现该情形，公司将及时披露是否顺延实施。</w:t>
      </w:r>
    </w:p>
    <w:p>
      <w:pPr>
        <w:spacing w:line="420" w:lineRule="exact"/>
        <w:ind w:firstLine="480"/>
        <w:rPr>
          <w:rFonts w:ascii="宋体" w:hAnsi="宋体" w:eastAsia="宋体" w:cs="宋体"/>
          <w:sz w:val="24"/>
          <w:szCs w:val="24"/>
        </w:rPr>
      </w:pPr>
      <w:r>
        <w:rPr>
          <w:rFonts w:hint="eastAsia" w:ascii="宋体" w:hAnsi="宋体" w:eastAsia="宋体" w:cs="宋体"/>
          <w:sz w:val="24"/>
          <w:szCs w:val="24"/>
        </w:rPr>
        <w:t>1、如果触及以下条件，则回购期限提前届满</w:t>
      </w:r>
    </w:p>
    <w:p>
      <w:pPr>
        <w:spacing w:line="420" w:lineRule="exact"/>
        <w:ind w:firstLine="480"/>
        <w:rPr>
          <w:rFonts w:ascii="宋体" w:hAnsi="宋体" w:eastAsia="宋体" w:cs="宋体"/>
          <w:sz w:val="24"/>
          <w:szCs w:val="24"/>
        </w:rPr>
      </w:pPr>
      <w:r>
        <w:rPr>
          <w:rFonts w:hint="eastAsia" w:ascii="宋体" w:hAnsi="宋体" w:eastAsia="宋体" w:cs="宋体"/>
          <w:sz w:val="24"/>
          <w:szCs w:val="24"/>
        </w:rPr>
        <w:t>（1）如果在回购期限内回购资金使用金额达到最高限额，则回购方案即实施完毕，回购期限自该日起提前届满。</w:t>
      </w:r>
    </w:p>
    <w:p>
      <w:pPr>
        <w:spacing w:line="420" w:lineRule="exact"/>
        <w:ind w:firstLine="480"/>
        <w:rPr>
          <w:rFonts w:ascii="宋体" w:hAnsi="宋体" w:eastAsia="宋体" w:cs="宋体"/>
          <w:sz w:val="24"/>
          <w:szCs w:val="24"/>
        </w:rPr>
      </w:pPr>
      <w:r>
        <w:rPr>
          <w:rFonts w:hint="eastAsia" w:ascii="宋体" w:hAnsi="宋体" w:eastAsia="宋体" w:cs="宋体"/>
          <w:sz w:val="24"/>
          <w:szCs w:val="24"/>
        </w:rPr>
        <w:t>（2）如公司董事会决定终止本回购方案，则回购期限自董事会决议终止本回购方案之日起提前届满。</w:t>
      </w:r>
    </w:p>
    <w:p>
      <w:pPr>
        <w:spacing w:line="420" w:lineRule="exact"/>
        <w:ind w:firstLine="480"/>
        <w:rPr>
          <w:rFonts w:ascii="宋体" w:hAnsi="宋体" w:eastAsia="宋体" w:cs="宋体"/>
          <w:sz w:val="24"/>
          <w:szCs w:val="24"/>
        </w:rPr>
      </w:pPr>
      <w:r>
        <w:rPr>
          <w:rFonts w:hint="eastAsia" w:ascii="宋体" w:hAnsi="宋体" w:eastAsia="宋体" w:cs="宋体"/>
          <w:sz w:val="24"/>
          <w:szCs w:val="24"/>
        </w:rPr>
        <w:t>2、公司不得在下列期间内回购公司股票</w:t>
      </w:r>
    </w:p>
    <w:p>
      <w:pPr>
        <w:spacing w:line="420" w:lineRule="exact"/>
        <w:ind w:firstLine="480"/>
        <w:rPr>
          <w:rFonts w:ascii="宋体" w:hAnsi="宋体" w:eastAsia="宋体" w:cs="宋体"/>
          <w:sz w:val="24"/>
          <w:szCs w:val="24"/>
        </w:rPr>
      </w:pPr>
      <w:r>
        <w:rPr>
          <w:rFonts w:hint="eastAsia" w:ascii="宋体" w:hAnsi="宋体" w:eastAsia="宋体" w:cs="宋体"/>
          <w:sz w:val="24"/>
          <w:szCs w:val="24"/>
        </w:rPr>
        <w:t>（1）上市公司定期报告、业绩预告或者业绩快报公告前十个交易日内；</w:t>
      </w:r>
    </w:p>
    <w:p>
      <w:pPr>
        <w:spacing w:line="420" w:lineRule="exact"/>
        <w:ind w:firstLine="480"/>
        <w:rPr>
          <w:rFonts w:ascii="宋体" w:hAnsi="宋体" w:eastAsia="宋体" w:cs="宋体"/>
          <w:sz w:val="24"/>
          <w:szCs w:val="24"/>
        </w:rPr>
      </w:pPr>
      <w:r>
        <w:rPr>
          <w:rFonts w:hint="eastAsia" w:ascii="宋体" w:hAnsi="宋体" w:eastAsia="宋体" w:cs="宋体"/>
          <w:sz w:val="24"/>
          <w:szCs w:val="24"/>
        </w:rPr>
        <w:t>（2）自可能对本公司股票交易价格产生重大影响的重大事项发生之日或者在决策过程中，至依法披露后两个交易日内；</w:t>
      </w:r>
    </w:p>
    <w:p>
      <w:pPr>
        <w:spacing w:line="420" w:lineRule="exact"/>
        <w:ind w:firstLine="480"/>
        <w:rPr>
          <w:rFonts w:ascii="宋体" w:hAnsi="宋体" w:eastAsia="宋体" w:cs="宋体"/>
          <w:sz w:val="24"/>
          <w:szCs w:val="24"/>
        </w:rPr>
      </w:pPr>
      <w:r>
        <w:rPr>
          <w:rFonts w:hint="eastAsia" w:ascii="宋体" w:hAnsi="宋体" w:eastAsia="宋体" w:cs="宋体"/>
          <w:sz w:val="24"/>
          <w:szCs w:val="24"/>
        </w:rPr>
        <w:t>（3）中国证监会规定的其他情形。</w:t>
      </w:r>
    </w:p>
    <w:p>
      <w:pPr>
        <w:spacing w:line="440" w:lineRule="exact"/>
        <w:ind w:firstLine="482"/>
        <w:rPr>
          <w:rFonts w:ascii="宋体" w:hAnsi="宋体"/>
          <w:b/>
          <w:bCs/>
          <w:sz w:val="24"/>
        </w:rPr>
      </w:pPr>
      <w:r>
        <w:rPr>
          <w:rFonts w:hint="eastAsia" w:ascii="宋体" w:hAnsi="宋体" w:eastAsia="宋体" w:cs="宋体"/>
          <w:b/>
          <w:bCs/>
          <w:color w:val="000000"/>
          <w:sz w:val="24"/>
          <w:szCs w:val="24"/>
        </w:rPr>
        <w:t>7、办理本次回购股份事宜的具体授权</w:t>
      </w:r>
      <w:r>
        <w:rPr>
          <w:rFonts w:ascii="宋体" w:hAnsi="宋体" w:eastAsia="宋体" w:cs="宋体"/>
          <w:b/>
          <w:bCs/>
          <w:sz w:val="24"/>
          <w:szCs w:val="24"/>
        </w:rPr>
        <w:t xml:space="preserve"> </w:t>
      </w:r>
    </w:p>
    <w:p>
      <w:pPr>
        <w:spacing w:line="420" w:lineRule="exact"/>
        <w:ind w:firstLine="480"/>
        <w:rPr>
          <w:rFonts w:ascii="宋体" w:hAnsi="宋体" w:eastAsia="宋体" w:cs="宋体"/>
          <w:sz w:val="24"/>
          <w:szCs w:val="24"/>
        </w:rPr>
      </w:pPr>
      <w:r>
        <w:rPr>
          <w:rFonts w:hint="eastAsia" w:ascii="宋体" w:hAnsi="宋体" w:eastAsia="宋体" w:cs="宋体"/>
          <w:sz w:val="24"/>
          <w:szCs w:val="24"/>
        </w:rPr>
        <w:t>根据《公司法》和《公司章程》的相关规定，经公司董事会审议，为保证本次股份回购的顺利实施，公司董事会授权公司管理层，在法律法规规定范围内，按照最大限度维护公司及股东利益的原则，全权办理本次回购股份相关事宜，授权内容及范围包括但不限于：</w:t>
      </w:r>
    </w:p>
    <w:p>
      <w:pPr>
        <w:spacing w:line="420" w:lineRule="exact"/>
        <w:ind w:firstLine="480"/>
        <w:rPr>
          <w:rFonts w:ascii="宋体" w:hAnsi="宋体" w:eastAsia="宋体" w:cs="宋体"/>
          <w:sz w:val="24"/>
          <w:szCs w:val="24"/>
        </w:rPr>
      </w:pPr>
      <w:r>
        <w:rPr>
          <w:rFonts w:hint="eastAsia" w:ascii="宋体" w:hAnsi="宋体" w:eastAsia="宋体" w:cs="宋体"/>
          <w:sz w:val="24"/>
          <w:szCs w:val="24"/>
        </w:rPr>
        <w:t>（1）授权公司管理层设立回购专用证券账户及办理其他相关事务；</w:t>
      </w:r>
    </w:p>
    <w:p>
      <w:pPr>
        <w:spacing w:line="420" w:lineRule="exact"/>
        <w:ind w:firstLine="480"/>
        <w:rPr>
          <w:rFonts w:ascii="宋体" w:hAnsi="宋体" w:eastAsia="宋体" w:cs="宋体"/>
          <w:sz w:val="24"/>
          <w:szCs w:val="24"/>
        </w:rPr>
      </w:pPr>
      <w:r>
        <w:rPr>
          <w:rFonts w:hint="eastAsia" w:ascii="宋体" w:hAnsi="宋体" w:eastAsia="宋体" w:cs="宋体"/>
          <w:sz w:val="24"/>
          <w:szCs w:val="24"/>
        </w:rPr>
        <w:t>（2）根据有关规定择机回购公司股份，包括回购股份的具体时间、价格、数量、方式等；</w:t>
      </w:r>
    </w:p>
    <w:p>
      <w:pPr>
        <w:spacing w:line="420" w:lineRule="exact"/>
        <w:ind w:firstLine="480"/>
        <w:rPr>
          <w:rFonts w:ascii="宋体" w:hAnsi="宋体" w:eastAsia="宋体" w:cs="宋体"/>
          <w:sz w:val="24"/>
          <w:szCs w:val="24"/>
        </w:rPr>
      </w:pPr>
      <w:r>
        <w:rPr>
          <w:rFonts w:hint="eastAsia" w:ascii="宋体" w:hAnsi="宋体" w:eastAsia="宋体" w:cs="宋体"/>
          <w:sz w:val="24"/>
          <w:szCs w:val="24"/>
        </w:rPr>
        <w:t>（3）依据有关法律法规及监管部门的规定调整具体实施方案（涉及有关法律、法规及《公司章程》规定须由董事会重新表决的事项除外），办理与股份回购有关的其他事宜；</w:t>
      </w:r>
    </w:p>
    <w:p>
      <w:pPr>
        <w:spacing w:line="420" w:lineRule="exact"/>
        <w:ind w:firstLine="480"/>
        <w:rPr>
          <w:rFonts w:ascii="宋体" w:hAnsi="宋体" w:eastAsia="宋体" w:cs="宋体"/>
          <w:sz w:val="24"/>
          <w:szCs w:val="24"/>
        </w:rPr>
      </w:pPr>
      <w:r>
        <w:rPr>
          <w:rFonts w:hint="eastAsia" w:ascii="宋体" w:hAnsi="宋体" w:eastAsia="宋体" w:cs="宋体"/>
          <w:sz w:val="24"/>
          <w:szCs w:val="24"/>
        </w:rPr>
        <w:t>（4）制作、修改、补充、签署、递交、呈报、执行本次回购部分社会公众股份过程中发生的一切协议、合同和文件，并进行相关申报；</w:t>
      </w:r>
    </w:p>
    <w:p>
      <w:pPr>
        <w:spacing w:line="420" w:lineRule="exact"/>
        <w:ind w:firstLine="480"/>
        <w:rPr>
          <w:rFonts w:ascii="宋体" w:hAnsi="宋体" w:eastAsia="宋体" w:cs="宋体"/>
          <w:sz w:val="24"/>
          <w:szCs w:val="24"/>
        </w:rPr>
      </w:pPr>
      <w:r>
        <w:rPr>
          <w:rFonts w:hint="eastAsia" w:ascii="宋体" w:hAnsi="宋体" w:eastAsia="宋体" w:cs="宋体"/>
          <w:sz w:val="24"/>
          <w:szCs w:val="24"/>
        </w:rPr>
        <w:t>（5）决定聘请相关中介机构；</w:t>
      </w:r>
    </w:p>
    <w:p>
      <w:pPr>
        <w:spacing w:line="420" w:lineRule="exact"/>
        <w:ind w:firstLine="480"/>
        <w:rPr>
          <w:rFonts w:ascii="宋体" w:hAnsi="宋体" w:eastAsia="宋体" w:cs="宋体"/>
          <w:sz w:val="24"/>
          <w:szCs w:val="24"/>
        </w:rPr>
      </w:pPr>
      <w:r>
        <w:rPr>
          <w:rFonts w:hint="eastAsia" w:ascii="宋体" w:hAnsi="宋体" w:eastAsia="宋体" w:cs="宋体"/>
          <w:sz w:val="24"/>
          <w:szCs w:val="24"/>
        </w:rPr>
        <w:t>（6）其他以上虽未列明但为本次股份回购及处置回购股份所必须的事项。</w:t>
      </w:r>
    </w:p>
    <w:p>
      <w:pPr>
        <w:spacing w:line="420" w:lineRule="exact"/>
        <w:ind w:firstLine="480"/>
        <w:rPr>
          <w:rFonts w:ascii="宋体" w:hAnsi="宋体" w:eastAsia="宋体" w:cs="宋体"/>
          <w:sz w:val="24"/>
          <w:szCs w:val="24"/>
        </w:rPr>
      </w:pPr>
      <w:r>
        <w:rPr>
          <w:rFonts w:hint="eastAsia" w:ascii="宋体" w:hAnsi="宋体" w:eastAsia="宋体" w:cs="宋体"/>
          <w:sz w:val="24"/>
          <w:szCs w:val="24"/>
        </w:rPr>
        <w:t>本授权自董事会审议通过之日起至上述授权事项办理完毕之日止。</w:t>
      </w:r>
    </w:p>
    <w:p>
      <w:pPr>
        <w:spacing w:line="420" w:lineRule="exact"/>
        <w:ind w:firstLine="482"/>
        <w:rPr>
          <w:rFonts w:ascii="宋体" w:hAnsi="宋体"/>
          <w:b/>
          <w:sz w:val="24"/>
        </w:rPr>
      </w:pPr>
      <w:r>
        <w:rPr>
          <w:rFonts w:hint="eastAsia" w:ascii="宋体" w:hAnsi="宋体"/>
          <w:b/>
          <w:sz w:val="24"/>
        </w:rPr>
        <w:t>8、预计回购后公司股权结构的变动情况</w:t>
      </w:r>
    </w:p>
    <w:p>
      <w:pPr>
        <w:spacing w:line="420" w:lineRule="exact"/>
        <w:ind w:firstLine="480"/>
        <w:rPr>
          <w:rFonts w:ascii="宋体" w:hAnsi="宋体" w:eastAsia="宋体" w:cs="宋体"/>
          <w:sz w:val="24"/>
          <w:szCs w:val="24"/>
        </w:rPr>
      </w:pPr>
      <w:r>
        <w:rPr>
          <w:rFonts w:hint="eastAsia" w:ascii="宋体" w:hAnsi="宋体" w:eastAsia="宋体" w:cs="宋体"/>
          <w:sz w:val="24"/>
          <w:szCs w:val="24"/>
        </w:rPr>
        <w:t>（1）若按本次回购金额</w:t>
      </w:r>
      <w:r>
        <w:rPr>
          <w:rFonts w:hint="eastAsia" w:ascii="宋体" w:hAnsi="宋体" w:eastAsia="宋体" w:cs="宋体"/>
          <w:sz w:val="24"/>
          <w:szCs w:val="24"/>
          <w:lang w:val="en-US" w:eastAsia="zh-CN"/>
        </w:rPr>
        <w:t>下限</w:t>
      </w:r>
      <w:r>
        <w:rPr>
          <w:rFonts w:hint="eastAsia" w:ascii="宋体" w:hAnsi="宋体" w:eastAsia="宋体" w:cs="宋体"/>
          <w:sz w:val="24"/>
          <w:szCs w:val="24"/>
        </w:rPr>
        <w:t>人民币1亿元，回购股份价格不超过人民币8.50元/股测算，预计回购数量约为1,176万股，占目前公司总股本的1.52%。按照截至2019年9月30日公司股本结构测算，若回购股份全部用于股权激励或员工持股计划并全部锁定，预计回购后公司股权结构变化情况如下：</w:t>
      </w:r>
    </w:p>
    <w:p>
      <w:pPr>
        <w:spacing w:line="420" w:lineRule="exact"/>
        <w:ind w:firstLine="480"/>
        <w:jc w:val="right"/>
        <w:rPr>
          <w:rFonts w:ascii="宋体" w:hAnsi="宋体" w:eastAsia="宋体" w:cs="宋体"/>
          <w:sz w:val="24"/>
          <w:szCs w:val="24"/>
        </w:rPr>
      </w:pPr>
      <w:r>
        <w:rPr>
          <w:rFonts w:hint="eastAsia" w:ascii="宋体" w:hAnsi="宋体" w:eastAsia="宋体" w:cs="宋体"/>
          <w:sz w:val="24"/>
          <w:szCs w:val="24"/>
        </w:rPr>
        <w:t>单位：股</w:t>
      </w:r>
    </w:p>
    <w:tbl>
      <w:tblPr>
        <w:tblStyle w:val="5"/>
        <w:tblW w:w="90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2"/>
        <w:gridCol w:w="1559"/>
        <w:gridCol w:w="1134"/>
        <w:gridCol w:w="1560"/>
        <w:gridCol w:w="1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52" w:type="dxa"/>
            <w:vMerge w:val="restart"/>
            <w:vAlign w:val="center"/>
          </w:tcPr>
          <w:p>
            <w:pPr>
              <w:spacing w:line="420" w:lineRule="exact"/>
              <w:ind w:firstLineChars="0"/>
              <w:jc w:val="center"/>
              <w:rPr>
                <w:rFonts w:ascii="宋体" w:hAnsi="宋体" w:eastAsia="宋体" w:cs="宋体"/>
                <w:sz w:val="24"/>
                <w:szCs w:val="24"/>
              </w:rPr>
            </w:pPr>
          </w:p>
        </w:tc>
        <w:tc>
          <w:tcPr>
            <w:tcW w:w="2693" w:type="dxa"/>
            <w:gridSpan w:val="2"/>
            <w:vAlign w:val="center"/>
          </w:tcPr>
          <w:p>
            <w:pPr>
              <w:spacing w:line="420" w:lineRule="exact"/>
              <w:ind w:firstLineChars="0"/>
              <w:jc w:val="center"/>
              <w:rPr>
                <w:rFonts w:ascii="宋体" w:hAnsi="宋体" w:eastAsia="宋体" w:cs="宋体"/>
                <w:sz w:val="24"/>
                <w:szCs w:val="24"/>
              </w:rPr>
            </w:pPr>
            <w:r>
              <w:rPr>
                <w:rFonts w:hint="eastAsia" w:ascii="宋体" w:hAnsi="宋体" w:eastAsia="宋体" w:cs="宋体"/>
                <w:sz w:val="24"/>
                <w:szCs w:val="24"/>
              </w:rPr>
              <w:t>本次变动前</w:t>
            </w:r>
          </w:p>
        </w:tc>
        <w:tc>
          <w:tcPr>
            <w:tcW w:w="2739" w:type="dxa"/>
            <w:gridSpan w:val="2"/>
            <w:vAlign w:val="center"/>
          </w:tcPr>
          <w:p>
            <w:pPr>
              <w:spacing w:line="420" w:lineRule="exact"/>
              <w:ind w:firstLineChars="0"/>
              <w:jc w:val="center"/>
              <w:rPr>
                <w:rFonts w:ascii="宋体" w:hAnsi="宋体" w:eastAsia="宋体" w:cs="宋体"/>
                <w:sz w:val="24"/>
                <w:szCs w:val="24"/>
              </w:rPr>
            </w:pPr>
            <w:r>
              <w:rPr>
                <w:rFonts w:hint="eastAsia" w:ascii="宋体" w:hAnsi="宋体" w:eastAsia="宋体" w:cs="宋体"/>
                <w:sz w:val="24"/>
                <w:szCs w:val="24"/>
              </w:rPr>
              <w:t>本次变动后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52" w:type="dxa"/>
            <w:vMerge w:val="continue"/>
            <w:vAlign w:val="center"/>
          </w:tcPr>
          <w:p>
            <w:pPr>
              <w:spacing w:line="420" w:lineRule="exact"/>
              <w:ind w:firstLineChars="0"/>
              <w:jc w:val="center"/>
              <w:rPr>
                <w:rFonts w:ascii="宋体" w:hAnsi="宋体" w:eastAsia="宋体" w:cs="宋体"/>
                <w:sz w:val="24"/>
                <w:szCs w:val="24"/>
              </w:rPr>
            </w:pPr>
          </w:p>
        </w:tc>
        <w:tc>
          <w:tcPr>
            <w:tcW w:w="1559" w:type="dxa"/>
            <w:vAlign w:val="center"/>
          </w:tcPr>
          <w:p>
            <w:pPr>
              <w:spacing w:line="420" w:lineRule="exact"/>
              <w:ind w:firstLineChars="0"/>
              <w:jc w:val="center"/>
              <w:rPr>
                <w:rFonts w:ascii="宋体" w:hAnsi="宋体" w:eastAsia="宋体" w:cs="宋体"/>
                <w:sz w:val="24"/>
                <w:szCs w:val="24"/>
              </w:rPr>
            </w:pPr>
            <w:r>
              <w:rPr>
                <w:rFonts w:hint="eastAsia" w:ascii="宋体" w:hAnsi="宋体" w:eastAsia="宋体" w:cs="宋体"/>
                <w:sz w:val="24"/>
                <w:szCs w:val="24"/>
              </w:rPr>
              <w:t>数量</w:t>
            </w:r>
          </w:p>
        </w:tc>
        <w:tc>
          <w:tcPr>
            <w:tcW w:w="1134" w:type="dxa"/>
            <w:vAlign w:val="center"/>
          </w:tcPr>
          <w:p>
            <w:pPr>
              <w:spacing w:line="420" w:lineRule="exact"/>
              <w:ind w:firstLine="0" w:firstLineChars="0"/>
              <w:jc w:val="center"/>
              <w:rPr>
                <w:rFonts w:ascii="宋体" w:hAnsi="宋体" w:eastAsia="宋体" w:cs="宋体"/>
                <w:sz w:val="24"/>
                <w:szCs w:val="24"/>
              </w:rPr>
            </w:pPr>
            <w:r>
              <w:rPr>
                <w:rFonts w:hint="eastAsia" w:ascii="宋体" w:hAnsi="宋体" w:eastAsia="宋体" w:cs="宋体"/>
                <w:sz w:val="24"/>
                <w:szCs w:val="24"/>
              </w:rPr>
              <w:t>比例（%）</w:t>
            </w:r>
          </w:p>
        </w:tc>
        <w:tc>
          <w:tcPr>
            <w:tcW w:w="1560" w:type="dxa"/>
            <w:vAlign w:val="center"/>
          </w:tcPr>
          <w:p>
            <w:pPr>
              <w:spacing w:line="420" w:lineRule="exact"/>
              <w:ind w:firstLineChars="0"/>
              <w:jc w:val="center"/>
              <w:rPr>
                <w:rFonts w:ascii="宋体" w:hAnsi="宋体" w:eastAsia="宋体" w:cs="宋体"/>
                <w:sz w:val="24"/>
                <w:szCs w:val="24"/>
              </w:rPr>
            </w:pPr>
            <w:r>
              <w:rPr>
                <w:rFonts w:hint="eastAsia" w:ascii="宋体" w:hAnsi="宋体" w:eastAsia="宋体" w:cs="宋体"/>
                <w:sz w:val="24"/>
                <w:szCs w:val="24"/>
              </w:rPr>
              <w:t>数量</w:t>
            </w:r>
          </w:p>
        </w:tc>
        <w:tc>
          <w:tcPr>
            <w:tcW w:w="1179" w:type="dxa"/>
            <w:vAlign w:val="center"/>
          </w:tcPr>
          <w:p>
            <w:pPr>
              <w:spacing w:line="420" w:lineRule="exact"/>
              <w:ind w:firstLine="34" w:firstLineChars="0"/>
              <w:jc w:val="center"/>
              <w:rPr>
                <w:rFonts w:ascii="宋体" w:hAnsi="宋体" w:eastAsia="宋体" w:cs="宋体"/>
                <w:sz w:val="24"/>
                <w:szCs w:val="24"/>
              </w:rPr>
            </w:pPr>
            <w:r>
              <w:rPr>
                <w:rFonts w:hint="eastAsia" w:ascii="宋体" w:hAnsi="宋体" w:eastAsia="宋体" w:cs="宋体"/>
                <w:sz w:val="24"/>
                <w:szCs w:val="24"/>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52" w:type="dxa"/>
            <w:vAlign w:val="center"/>
          </w:tcPr>
          <w:p>
            <w:pPr>
              <w:spacing w:line="420" w:lineRule="exact"/>
              <w:ind w:firstLineChars="0"/>
              <w:jc w:val="left"/>
              <w:rPr>
                <w:rFonts w:ascii="宋体" w:hAnsi="宋体" w:eastAsia="宋体" w:cs="宋体"/>
                <w:sz w:val="24"/>
                <w:szCs w:val="24"/>
              </w:rPr>
            </w:pPr>
            <w:r>
              <w:rPr>
                <w:rFonts w:hint="eastAsia" w:ascii="宋体" w:hAnsi="宋体" w:eastAsia="宋体" w:cs="宋体"/>
                <w:sz w:val="24"/>
                <w:szCs w:val="24"/>
              </w:rPr>
              <w:t>一、限售条件流通股/非流通股</w:t>
            </w:r>
          </w:p>
        </w:tc>
        <w:tc>
          <w:tcPr>
            <w:tcW w:w="1559" w:type="dxa"/>
            <w:vAlign w:val="center"/>
          </w:tcPr>
          <w:p>
            <w:pPr>
              <w:widowControl/>
              <w:spacing w:line="420" w:lineRule="exact"/>
              <w:ind w:firstLine="0" w:firstLineChars="0"/>
              <w:jc w:val="center"/>
              <w:rPr>
                <w:rFonts w:ascii="宋体" w:hAnsi="宋体" w:eastAsia="宋体" w:cs="宋体"/>
                <w:sz w:val="24"/>
                <w:szCs w:val="24"/>
              </w:rPr>
            </w:pPr>
            <w:r>
              <w:rPr>
                <w:rFonts w:hint="eastAsia" w:ascii="宋体" w:hAnsi="宋体" w:eastAsia="宋体" w:cs="宋体"/>
                <w:sz w:val="24"/>
                <w:szCs w:val="24"/>
              </w:rPr>
              <w:t>30,879,669</w:t>
            </w:r>
          </w:p>
        </w:tc>
        <w:tc>
          <w:tcPr>
            <w:tcW w:w="1134" w:type="dxa"/>
            <w:vAlign w:val="center"/>
          </w:tcPr>
          <w:p>
            <w:pPr>
              <w:widowControl/>
              <w:spacing w:line="420" w:lineRule="exact"/>
              <w:ind w:firstLine="0" w:firstLineChars="0"/>
              <w:jc w:val="center"/>
              <w:rPr>
                <w:rFonts w:ascii="宋体" w:hAnsi="宋体" w:eastAsia="宋体" w:cs="宋体"/>
                <w:sz w:val="24"/>
                <w:szCs w:val="24"/>
              </w:rPr>
            </w:pPr>
            <w:r>
              <w:rPr>
                <w:rFonts w:hint="eastAsia" w:ascii="宋体" w:hAnsi="宋体" w:eastAsia="宋体" w:cs="宋体"/>
                <w:sz w:val="24"/>
                <w:szCs w:val="24"/>
              </w:rPr>
              <w:t>3.99</w:t>
            </w:r>
          </w:p>
        </w:tc>
        <w:tc>
          <w:tcPr>
            <w:tcW w:w="1560" w:type="dxa"/>
            <w:vAlign w:val="center"/>
          </w:tcPr>
          <w:p>
            <w:pPr>
              <w:spacing w:line="420" w:lineRule="exact"/>
              <w:ind w:firstLine="0" w:firstLineChars="0"/>
              <w:jc w:val="right"/>
              <w:rPr>
                <w:rFonts w:ascii="宋体" w:hAnsi="宋体" w:eastAsia="宋体" w:cs="宋体"/>
                <w:sz w:val="24"/>
                <w:szCs w:val="24"/>
              </w:rPr>
            </w:pPr>
            <w:r>
              <w:rPr>
                <w:rFonts w:hint="eastAsia" w:ascii="宋体" w:hAnsi="宋体" w:eastAsia="宋体" w:cs="宋体"/>
                <w:sz w:val="24"/>
                <w:szCs w:val="24"/>
              </w:rPr>
              <w:t>42,639,669</w:t>
            </w:r>
          </w:p>
        </w:tc>
        <w:tc>
          <w:tcPr>
            <w:tcW w:w="1179" w:type="dxa"/>
            <w:vAlign w:val="center"/>
          </w:tcPr>
          <w:p>
            <w:pPr>
              <w:spacing w:line="420" w:lineRule="exact"/>
              <w:ind w:firstLine="0" w:firstLineChars="0"/>
              <w:jc w:val="center"/>
              <w:rPr>
                <w:rFonts w:ascii="宋体" w:hAnsi="宋体" w:eastAsia="宋体" w:cs="宋体"/>
                <w:sz w:val="24"/>
                <w:szCs w:val="24"/>
              </w:rPr>
            </w:pPr>
            <w:r>
              <w:rPr>
                <w:rFonts w:hint="eastAsia" w:ascii="宋体" w:hAnsi="宋体" w:eastAsia="宋体" w:cs="宋体"/>
                <w:sz w:val="24"/>
                <w:szCs w:val="24"/>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52" w:type="dxa"/>
            <w:vAlign w:val="center"/>
          </w:tcPr>
          <w:p>
            <w:pPr>
              <w:spacing w:line="420" w:lineRule="exact"/>
              <w:ind w:firstLineChars="0"/>
              <w:jc w:val="left"/>
              <w:rPr>
                <w:rFonts w:ascii="宋体" w:hAnsi="宋体" w:eastAsia="宋体" w:cs="宋体"/>
                <w:sz w:val="24"/>
                <w:szCs w:val="24"/>
              </w:rPr>
            </w:pPr>
            <w:r>
              <w:rPr>
                <w:rFonts w:hint="eastAsia" w:ascii="宋体" w:hAnsi="宋体" w:eastAsia="宋体" w:cs="宋体"/>
                <w:sz w:val="24"/>
                <w:szCs w:val="24"/>
              </w:rPr>
              <w:t>二、无限售条件流通股</w:t>
            </w:r>
          </w:p>
        </w:tc>
        <w:tc>
          <w:tcPr>
            <w:tcW w:w="1559" w:type="dxa"/>
            <w:vAlign w:val="center"/>
          </w:tcPr>
          <w:p>
            <w:pPr>
              <w:widowControl/>
              <w:spacing w:line="420" w:lineRule="exact"/>
              <w:ind w:firstLine="0" w:firstLineChars="0"/>
              <w:jc w:val="center"/>
              <w:rPr>
                <w:rFonts w:ascii="宋体" w:hAnsi="宋体" w:eastAsia="宋体" w:cs="宋体"/>
                <w:sz w:val="24"/>
                <w:szCs w:val="24"/>
              </w:rPr>
            </w:pPr>
            <w:r>
              <w:rPr>
                <w:rFonts w:hint="eastAsia" w:ascii="宋体" w:hAnsi="宋体" w:eastAsia="宋体" w:cs="宋体"/>
                <w:sz w:val="24"/>
                <w:szCs w:val="24"/>
              </w:rPr>
              <w:t>743,876,333</w:t>
            </w:r>
          </w:p>
        </w:tc>
        <w:tc>
          <w:tcPr>
            <w:tcW w:w="1134" w:type="dxa"/>
            <w:vAlign w:val="center"/>
          </w:tcPr>
          <w:p>
            <w:pPr>
              <w:widowControl/>
              <w:spacing w:line="420" w:lineRule="exact"/>
              <w:ind w:firstLine="0" w:firstLineChars="0"/>
              <w:jc w:val="center"/>
              <w:rPr>
                <w:rFonts w:ascii="宋体" w:hAnsi="宋体" w:eastAsia="宋体" w:cs="宋体"/>
                <w:sz w:val="24"/>
                <w:szCs w:val="24"/>
              </w:rPr>
            </w:pPr>
            <w:r>
              <w:rPr>
                <w:rFonts w:hint="eastAsia" w:ascii="宋体" w:hAnsi="宋体" w:eastAsia="宋体" w:cs="宋体"/>
                <w:sz w:val="24"/>
                <w:szCs w:val="24"/>
              </w:rPr>
              <w:t>96.01</w:t>
            </w:r>
          </w:p>
        </w:tc>
        <w:tc>
          <w:tcPr>
            <w:tcW w:w="1560" w:type="dxa"/>
            <w:vAlign w:val="center"/>
          </w:tcPr>
          <w:p>
            <w:pPr>
              <w:spacing w:line="420" w:lineRule="exact"/>
              <w:ind w:firstLine="0" w:firstLineChars="0"/>
              <w:jc w:val="right"/>
              <w:rPr>
                <w:rFonts w:ascii="宋体" w:hAnsi="宋体" w:eastAsia="宋体" w:cs="宋体"/>
                <w:sz w:val="24"/>
                <w:szCs w:val="24"/>
              </w:rPr>
            </w:pPr>
            <w:r>
              <w:rPr>
                <w:rFonts w:hint="eastAsia" w:ascii="宋体" w:hAnsi="宋体" w:eastAsia="宋体" w:cs="宋体"/>
                <w:sz w:val="24"/>
                <w:szCs w:val="24"/>
              </w:rPr>
              <w:t>732,116,333</w:t>
            </w:r>
          </w:p>
        </w:tc>
        <w:tc>
          <w:tcPr>
            <w:tcW w:w="1179" w:type="dxa"/>
            <w:vAlign w:val="center"/>
          </w:tcPr>
          <w:p>
            <w:pPr>
              <w:spacing w:line="420" w:lineRule="exact"/>
              <w:ind w:firstLine="0" w:firstLineChars="0"/>
              <w:jc w:val="center"/>
              <w:rPr>
                <w:rFonts w:ascii="宋体" w:hAnsi="宋体" w:eastAsia="宋体" w:cs="宋体"/>
                <w:sz w:val="24"/>
                <w:szCs w:val="24"/>
              </w:rPr>
            </w:pPr>
            <w:r>
              <w:rPr>
                <w:rFonts w:hint="eastAsia" w:ascii="宋体" w:hAnsi="宋体" w:eastAsia="宋体" w:cs="宋体"/>
                <w:sz w:val="24"/>
                <w:szCs w:val="24"/>
              </w:rPr>
              <w:t>94.50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52" w:type="dxa"/>
            <w:vAlign w:val="center"/>
          </w:tcPr>
          <w:p>
            <w:pPr>
              <w:spacing w:line="420" w:lineRule="exact"/>
              <w:ind w:firstLineChars="0"/>
              <w:jc w:val="left"/>
              <w:rPr>
                <w:rFonts w:ascii="宋体" w:hAnsi="宋体" w:eastAsia="宋体" w:cs="宋体"/>
                <w:sz w:val="24"/>
                <w:szCs w:val="24"/>
              </w:rPr>
            </w:pPr>
            <w:r>
              <w:rPr>
                <w:rFonts w:hint="eastAsia" w:ascii="宋体" w:hAnsi="宋体" w:eastAsia="宋体" w:cs="宋体"/>
                <w:sz w:val="24"/>
                <w:szCs w:val="24"/>
              </w:rPr>
              <w:t>三、总股本</w:t>
            </w:r>
          </w:p>
        </w:tc>
        <w:tc>
          <w:tcPr>
            <w:tcW w:w="1559" w:type="dxa"/>
            <w:vAlign w:val="center"/>
          </w:tcPr>
          <w:p>
            <w:pPr>
              <w:spacing w:line="420" w:lineRule="exact"/>
              <w:ind w:firstLine="0" w:firstLineChars="0"/>
              <w:jc w:val="center"/>
              <w:rPr>
                <w:rFonts w:ascii="宋体" w:hAnsi="宋体" w:eastAsia="宋体" w:cs="宋体"/>
                <w:sz w:val="24"/>
                <w:szCs w:val="24"/>
              </w:rPr>
            </w:pPr>
            <w:r>
              <w:rPr>
                <w:rFonts w:hint="eastAsia" w:ascii="宋体" w:hAnsi="宋体" w:eastAsia="宋体" w:cs="宋体"/>
                <w:sz w:val="24"/>
                <w:szCs w:val="24"/>
              </w:rPr>
              <w:t>774,756,002</w:t>
            </w:r>
          </w:p>
        </w:tc>
        <w:tc>
          <w:tcPr>
            <w:tcW w:w="1134" w:type="dxa"/>
            <w:vAlign w:val="center"/>
          </w:tcPr>
          <w:p>
            <w:pPr>
              <w:spacing w:line="420" w:lineRule="exact"/>
              <w:ind w:firstLine="0" w:firstLineChars="0"/>
              <w:jc w:val="center"/>
              <w:rPr>
                <w:rFonts w:ascii="宋体" w:hAnsi="宋体" w:eastAsia="宋体" w:cs="宋体"/>
                <w:sz w:val="24"/>
                <w:szCs w:val="24"/>
              </w:rPr>
            </w:pPr>
            <w:r>
              <w:rPr>
                <w:rFonts w:hint="eastAsia" w:ascii="宋体" w:hAnsi="宋体" w:eastAsia="宋体" w:cs="宋体"/>
                <w:sz w:val="24"/>
                <w:szCs w:val="24"/>
              </w:rPr>
              <w:t>100</w:t>
            </w:r>
          </w:p>
        </w:tc>
        <w:tc>
          <w:tcPr>
            <w:tcW w:w="1560" w:type="dxa"/>
            <w:vAlign w:val="center"/>
          </w:tcPr>
          <w:p>
            <w:pPr>
              <w:spacing w:line="420" w:lineRule="exact"/>
              <w:ind w:firstLine="0" w:firstLineChars="0"/>
              <w:jc w:val="right"/>
              <w:rPr>
                <w:rFonts w:ascii="宋体" w:hAnsi="宋体" w:eastAsia="宋体" w:cs="宋体"/>
                <w:sz w:val="24"/>
                <w:szCs w:val="24"/>
              </w:rPr>
            </w:pPr>
            <w:r>
              <w:rPr>
                <w:rFonts w:hint="eastAsia" w:ascii="宋体" w:hAnsi="宋体" w:eastAsia="宋体" w:cs="宋体"/>
                <w:sz w:val="24"/>
                <w:szCs w:val="24"/>
              </w:rPr>
              <w:t>774,756,002</w:t>
            </w:r>
          </w:p>
        </w:tc>
        <w:tc>
          <w:tcPr>
            <w:tcW w:w="1179" w:type="dxa"/>
            <w:vAlign w:val="center"/>
          </w:tcPr>
          <w:p>
            <w:pPr>
              <w:spacing w:line="420" w:lineRule="exact"/>
              <w:ind w:firstLine="0" w:firstLineChars="0"/>
              <w:jc w:val="center"/>
              <w:rPr>
                <w:rFonts w:ascii="宋体" w:hAnsi="宋体" w:eastAsia="宋体" w:cs="宋体"/>
                <w:sz w:val="24"/>
                <w:szCs w:val="24"/>
              </w:rPr>
            </w:pPr>
            <w:r>
              <w:rPr>
                <w:rFonts w:hint="eastAsia" w:ascii="宋体" w:hAnsi="宋体" w:eastAsia="宋体" w:cs="宋体"/>
                <w:sz w:val="24"/>
                <w:szCs w:val="24"/>
              </w:rPr>
              <w:t>100</w:t>
            </w:r>
          </w:p>
        </w:tc>
      </w:tr>
    </w:tbl>
    <w:p>
      <w:pPr>
        <w:spacing w:line="420" w:lineRule="exact"/>
        <w:ind w:firstLine="480"/>
        <w:rPr>
          <w:rFonts w:ascii="宋体" w:hAnsi="宋体" w:eastAsia="宋体" w:cs="宋体"/>
          <w:sz w:val="24"/>
          <w:szCs w:val="24"/>
        </w:rPr>
      </w:pPr>
      <w:r>
        <w:rPr>
          <w:rFonts w:hint="eastAsia" w:ascii="宋体" w:hAnsi="宋体" w:eastAsia="宋体" w:cs="宋体"/>
          <w:sz w:val="24"/>
          <w:szCs w:val="24"/>
        </w:rPr>
        <w:t>（1）若按本次回购金额上限人民币2亿元，回购股份价格不超过人民币8</w:t>
      </w:r>
      <w:r>
        <w:rPr>
          <w:rFonts w:hint="eastAsia" w:ascii="宋体" w:hAnsi="宋体" w:eastAsia="宋体" w:cs="宋体"/>
          <w:sz w:val="24"/>
          <w:szCs w:val="24"/>
          <w:lang w:val="en-US" w:eastAsia="zh-CN"/>
        </w:rPr>
        <w:t>.50</w:t>
      </w:r>
      <w:r>
        <w:rPr>
          <w:rFonts w:hint="eastAsia" w:ascii="宋体" w:hAnsi="宋体" w:eastAsia="宋体" w:cs="宋体"/>
          <w:sz w:val="24"/>
          <w:szCs w:val="24"/>
        </w:rPr>
        <w:t>元/股测算，预计回购数量约为2,353万股，占目前公司总股本的3.04%。按照截至2019年9月30日公司股本结构测算，若回购股份全部用于股权激励或员工持股计划并全部锁定，预计回购后公司股权结构变化情况如下：</w:t>
      </w:r>
    </w:p>
    <w:p>
      <w:pPr>
        <w:spacing w:line="420" w:lineRule="exact"/>
        <w:ind w:firstLine="480"/>
        <w:jc w:val="right"/>
        <w:rPr>
          <w:rFonts w:ascii="宋体" w:hAnsi="宋体" w:eastAsia="宋体" w:cs="宋体"/>
          <w:sz w:val="24"/>
          <w:szCs w:val="24"/>
        </w:rPr>
      </w:pPr>
      <w:r>
        <w:rPr>
          <w:rFonts w:hint="eastAsia" w:ascii="宋体" w:hAnsi="宋体" w:eastAsia="宋体" w:cs="宋体"/>
          <w:sz w:val="24"/>
          <w:szCs w:val="24"/>
        </w:rPr>
        <w:t>单位：股</w:t>
      </w:r>
    </w:p>
    <w:tbl>
      <w:tblPr>
        <w:tblStyle w:val="5"/>
        <w:tblW w:w="90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2"/>
        <w:gridCol w:w="1559"/>
        <w:gridCol w:w="1134"/>
        <w:gridCol w:w="1560"/>
        <w:gridCol w:w="1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52" w:type="dxa"/>
            <w:vMerge w:val="restart"/>
            <w:vAlign w:val="center"/>
          </w:tcPr>
          <w:p>
            <w:pPr>
              <w:spacing w:line="420" w:lineRule="exact"/>
              <w:ind w:firstLineChars="0"/>
              <w:jc w:val="center"/>
              <w:rPr>
                <w:rFonts w:ascii="宋体" w:hAnsi="宋体" w:eastAsia="宋体" w:cs="宋体"/>
                <w:sz w:val="24"/>
                <w:szCs w:val="24"/>
              </w:rPr>
            </w:pPr>
          </w:p>
        </w:tc>
        <w:tc>
          <w:tcPr>
            <w:tcW w:w="2693" w:type="dxa"/>
            <w:gridSpan w:val="2"/>
            <w:vAlign w:val="center"/>
          </w:tcPr>
          <w:p>
            <w:pPr>
              <w:spacing w:line="420" w:lineRule="exact"/>
              <w:ind w:firstLineChars="0"/>
              <w:jc w:val="center"/>
              <w:rPr>
                <w:rFonts w:ascii="宋体" w:hAnsi="宋体" w:eastAsia="宋体" w:cs="宋体"/>
                <w:sz w:val="24"/>
                <w:szCs w:val="24"/>
              </w:rPr>
            </w:pPr>
            <w:r>
              <w:rPr>
                <w:rFonts w:hint="eastAsia" w:ascii="宋体" w:hAnsi="宋体" w:eastAsia="宋体" w:cs="宋体"/>
                <w:sz w:val="24"/>
                <w:szCs w:val="24"/>
              </w:rPr>
              <w:t>本次变动前</w:t>
            </w:r>
          </w:p>
        </w:tc>
        <w:tc>
          <w:tcPr>
            <w:tcW w:w="2739" w:type="dxa"/>
            <w:gridSpan w:val="2"/>
            <w:vAlign w:val="center"/>
          </w:tcPr>
          <w:p>
            <w:pPr>
              <w:spacing w:line="420" w:lineRule="exact"/>
              <w:ind w:firstLineChars="0"/>
              <w:jc w:val="center"/>
              <w:rPr>
                <w:rFonts w:ascii="宋体" w:hAnsi="宋体" w:eastAsia="宋体" w:cs="宋体"/>
                <w:sz w:val="24"/>
                <w:szCs w:val="24"/>
              </w:rPr>
            </w:pPr>
            <w:r>
              <w:rPr>
                <w:rFonts w:hint="eastAsia" w:ascii="宋体" w:hAnsi="宋体" w:eastAsia="宋体" w:cs="宋体"/>
                <w:sz w:val="24"/>
                <w:szCs w:val="24"/>
              </w:rPr>
              <w:t>本次变动后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52" w:type="dxa"/>
            <w:vMerge w:val="continue"/>
            <w:vAlign w:val="center"/>
          </w:tcPr>
          <w:p>
            <w:pPr>
              <w:spacing w:line="420" w:lineRule="exact"/>
              <w:ind w:firstLineChars="0"/>
              <w:jc w:val="center"/>
              <w:rPr>
                <w:rFonts w:ascii="宋体" w:hAnsi="宋体" w:eastAsia="宋体" w:cs="宋体"/>
                <w:sz w:val="24"/>
                <w:szCs w:val="24"/>
              </w:rPr>
            </w:pPr>
          </w:p>
        </w:tc>
        <w:tc>
          <w:tcPr>
            <w:tcW w:w="1559" w:type="dxa"/>
            <w:vAlign w:val="center"/>
          </w:tcPr>
          <w:p>
            <w:pPr>
              <w:spacing w:line="420" w:lineRule="exact"/>
              <w:ind w:firstLineChars="0"/>
              <w:jc w:val="center"/>
              <w:rPr>
                <w:rFonts w:ascii="宋体" w:hAnsi="宋体" w:eastAsia="宋体" w:cs="宋体"/>
                <w:sz w:val="24"/>
                <w:szCs w:val="24"/>
              </w:rPr>
            </w:pPr>
            <w:r>
              <w:rPr>
                <w:rFonts w:hint="eastAsia" w:ascii="宋体" w:hAnsi="宋体" w:eastAsia="宋体" w:cs="宋体"/>
                <w:sz w:val="24"/>
                <w:szCs w:val="24"/>
              </w:rPr>
              <w:t>数量</w:t>
            </w:r>
          </w:p>
        </w:tc>
        <w:tc>
          <w:tcPr>
            <w:tcW w:w="1134" w:type="dxa"/>
            <w:vAlign w:val="center"/>
          </w:tcPr>
          <w:p>
            <w:pPr>
              <w:spacing w:line="420" w:lineRule="exact"/>
              <w:ind w:firstLine="0" w:firstLineChars="0"/>
              <w:jc w:val="center"/>
              <w:rPr>
                <w:rFonts w:ascii="宋体" w:hAnsi="宋体" w:eastAsia="宋体" w:cs="宋体"/>
                <w:sz w:val="24"/>
                <w:szCs w:val="24"/>
              </w:rPr>
            </w:pPr>
            <w:r>
              <w:rPr>
                <w:rFonts w:hint="eastAsia" w:ascii="宋体" w:hAnsi="宋体" w:eastAsia="宋体" w:cs="宋体"/>
                <w:sz w:val="24"/>
                <w:szCs w:val="24"/>
              </w:rPr>
              <w:t>比例（%）</w:t>
            </w:r>
          </w:p>
        </w:tc>
        <w:tc>
          <w:tcPr>
            <w:tcW w:w="1560" w:type="dxa"/>
            <w:vAlign w:val="center"/>
          </w:tcPr>
          <w:p>
            <w:pPr>
              <w:spacing w:line="420" w:lineRule="exact"/>
              <w:ind w:firstLineChars="0"/>
              <w:jc w:val="center"/>
              <w:rPr>
                <w:rFonts w:ascii="宋体" w:hAnsi="宋体" w:eastAsia="宋体" w:cs="宋体"/>
                <w:sz w:val="24"/>
                <w:szCs w:val="24"/>
              </w:rPr>
            </w:pPr>
            <w:r>
              <w:rPr>
                <w:rFonts w:hint="eastAsia" w:ascii="宋体" w:hAnsi="宋体" w:eastAsia="宋体" w:cs="宋体"/>
                <w:sz w:val="24"/>
                <w:szCs w:val="24"/>
              </w:rPr>
              <w:t>数量</w:t>
            </w:r>
          </w:p>
        </w:tc>
        <w:tc>
          <w:tcPr>
            <w:tcW w:w="1179" w:type="dxa"/>
            <w:vAlign w:val="center"/>
          </w:tcPr>
          <w:p>
            <w:pPr>
              <w:spacing w:line="420" w:lineRule="exact"/>
              <w:ind w:firstLine="0" w:firstLineChars="0"/>
              <w:jc w:val="center"/>
              <w:rPr>
                <w:rFonts w:ascii="宋体" w:hAnsi="宋体" w:eastAsia="宋体" w:cs="宋体"/>
                <w:sz w:val="24"/>
                <w:szCs w:val="24"/>
              </w:rPr>
            </w:pPr>
            <w:r>
              <w:rPr>
                <w:rFonts w:hint="eastAsia" w:ascii="宋体" w:hAnsi="宋体" w:eastAsia="宋体" w:cs="宋体"/>
                <w:sz w:val="24"/>
                <w:szCs w:val="24"/>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52" w:type="dxa"/>
            <w:vAlign w:val="center"/>
          </w:tcPr>
          <w:p>
            <w:pPr>
              <w:spacing w:line="420" w:lineRule="exact"/>
              <w:ind w:firstLineChars="0"/>
              <w:jc w:val="left"/>
              <w:rPr>
                <w:rFonts w:ascii="宋体" w:hAnsi="宋体" w:eastAsia="宋体" w:cs="宋体"/>
                <w:sz w:val="24"/>
                <w:szCs w:val="24"/>
              </w:rPr>
            </w:pPr>
            <w:r>
              <w:rPr>
                <w:rFonts w:hint="eastAsia" w:ascii="宋体" w:hAnsi="宋体" w:eastAsia="宋体" w:cs="宋体"/>
                <w:sz w:val="24"/>
                <w:szCs w:val="24"/>
              </w:rPr>
              <w:t>一、限售条件流通股/非流通股</w:t>
            </w:r>
          </w:p>
        </w:tc>
        <w:tc>
          <w:tcPr>
            <w:tcW w:w="1559" w:type="dxa"/>
            <w:vAlign w:val="center"/>
          </w:tcPr>
          <w:p>
            <w:pPr>
              <w:widowControl/>
              <w:spacing w:line="420" w:lineRule="exact"/>
              <w:ind w:firstLine="0" w:firstLineChars="0"/>
              <w:jc w:val="center"/>
              <w:rPr>
                <w:rFonts w:ascii="宋体" w:hAnsi="宋体" w:eastAsia="宋体" w:cs="宋体"/>
                <w:sz w:val="24"/>
                <w:szCs w:val="24"/>
                <w:highlight w:val="yellow"/>
              </w:rPr>
            </w:pPr>
            <w:r>
              <w:rPr>
                <w:rFonts w:hint="eastAsia" w:ascii="宋体" w:hAnsi="宋体" w:eastAsia="宋体" w:cs="宋体"/>
                <w:sz w:val="24"/>
                <w:szCs w:val="24"/>
              </w:rPr>
              <w:t>30,879,669</w:t>
            </w:r>
          </w:p>
        </w:tc>
        <w:tc>
          <w:tcPr>
            <w:tcW w:w="1134" w:type="dxa"/>
            <w:vAlign w:val="center"/>
          </w:tcPr>
          <w:p>
            <w:pPr>
              <w:widowControl/>
              <w:spacing w:line="420" w:lineRule="exact"/>
              <w:ind w:firstLine="0" w:firstLineChars="0"/>
              <w:jc w:val="center"/>
              <w:rPr>
                <w:rFonts w:ascii="宋体" w:hAnsi="宋体" w:eastAsia="宋体" w:cs="宋体"/>
                <w:sz w:val="24"/>
                <w:szCs w:val="24"/>
                <w:highlight w:val="yellow"/>
              </w:rPr>
            </w:pPr>
            <w:r>
              <w:rPr>
                <w:rFonts w:hint="eastAsia" w:ascii="宋体" w:hAnsi="宋体" w:eastAsia="宋体" w:cs="宋体"/>
                <w:sz w:val="24"/>
                <w:szCs w:val="24"/>
              </w:rPr>
              <w:t>3.99</w:t>
            </w:r>
          </w:p>
        </w:tc>
        <w:tc>
          <w:tcPr>
            <w:tcW w:w="1560" w:type="dxa"/>
            <w:vAlign w:val="center"/>
          </w:tcPr>
          <w:p>
            <w:pPr>
              <w:spacing w:line="420" w:lineRule="exact"/>
              <w:ind w:firstLine="0" w:firstLineChars="0"/>
              <w:jc w:val="right"/>
              <w:rPr>
                <w:rFonts w:ascii="宋体" w:hAnsi="宋体" w:eastAsia="宋体" w:cs="宋体"/>
                <w:sz w:val="24"/>
                <w:szCs w:val="24"/>
              </w:rPr>
            </w:pPr>
            <w:r>
              <w:rPr>
                <w:rFonts w:hint="eastAsia" w:ascii="宋体" w:hAnsi="宋体" w:eastAsia="宋体" w:cs="宋体"/>
                <w:sz w:val="24"/>
                <w:szCs w:val="24"/>
              </w:rPr>
              <w:t>54,409,669</w:t>
            </w:r>
          </w:p>
        </w:tc>
        <w:tc>
          <w:tcPr>
            <w:tcW w:w="1179" w:type="dxa"/>
            <w:vAlign w:val="center"/>
          </w:tcPr>
          <w:p>
            <w:pPr>
              <w:spacing w:line="420" w:lineRule="exact"/>
              <w:ind w:firstLine="0" w:firstLineChars="0"/>
              <w:jc w:val="center"/>
              <w:rPr>
                <w:rFonts w:ascii="宋体" w:hAnsi="宋体" w:eastAsia="宋体" w:cs="宋体"/>
                <w:sz w:val="24"/>
                <w:szCs w:val="24"/>
              </w:rPr>
            </w:pPr>
            <w:r>
              <w:rPr>
                <w:rFonts w:hint="eastAsia" w:ascii="宋体" w:hAnsi="宋体" w:eastAsia="宋体" w:cs="宋体"/>
                <w:sz w:val="24"/>
                <w:szCs w:val="24"/>
              </w:rPr>
              <w:t>7.02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52" w:type="dxa"/>
            <w:vAlign w:val="center"/>
          </w:tcPr>
          <w:p>
            <w:pPr>
              <w:spacing w:line="420" w:lineRule="exact"/>
              <w:ind w:firstLineChars="0"/>
              <w:jc w:val="left"/>
              <w:rPr>
                <w:rFonts w:ascii="宋体" w:hAnsi="宋体" w:eastAsia="宋体" w:cs="宋体"/>
                <w:sz w:val="24"/>
                <w:szCs w:val="24"/>
              </w:rPr>
            </w:pPr>
            <w:r>
              <w:rPr>
                <w:rFonts w:hint="eastAsia" w:ascii="宋体" w:hAnsi="宋体" w:eastAsia="宋体" w:cs="宋体"/>
                <w:sz w:val="24"/>
                <w:szCs w:val="24"/>
              </w:rPr>
              <w:t>二、无限售条件流通股</w:t>
            </w:r>
          </w:p>
        </w:tc>
        <w:tc>
          <w:tcPr>
            <w:tcW w:w="1559" w:type="dxa"/>
            <w:vAlign w:val="center"/>
          </w:tcPr>
          <w:p>
            <w:pPr>
              <w:widowControl/>
              <w:spacing w:line="420" w:lineRule="exact"/>
              <w:ind w:firstLine="0" w:firstLineChars="0"/>
              <w:jc w:val="center"/>
              <w:rPr>
                <w:rFonts w:ascii="宋体" w:hAnsi="宋体" w:eastAsia="宋体" w:cs="宋体"/>
                <w:sz w:val="24"/>
                <w:szCs w:val="24"/>
                <w:highlight w:val="yellow"/>
              </w:rPr>
            </w:pPr>
            <w:r>
              <w:rPr>
                <w:rFonts w:hint="eastAsia" w:ascii="宋体" w:hAnsi="宋体" w:eastAsia="宋体" w:cs="宋体"/>
                <w:sz w:val="24"/>
                <w:szCs w:val="24"/>
              </w:rPr>
              <w:t>743,876,333</w:t>
            </w:r>
          </w:p>
        </w:tc>
        <w:tc>
          <w:tcPr>
            <w:tcW w:w="1134" w:type="dxa"/>
            <w:vAlign w:val="center"/>
          </w:tcPr>
          <w:p>
            <w:pPr>
              <w:widowControl/>
              <w:spacing w:line="420" w:lineRule="exact"/>
              <w:ind w:firstLine="0" w:firstLineChars="0"/>
              <w:jc w:val="center"/>
              <w:rPr>
                <w:rFonts w:ascii="宋体" w:hAnsi="宋体" w:eastAsia="宋体" w:cs="宋体"/>
                <w:sz w:val="24"/>
                <w:szCs w:val="24"/>
                <w:highlight w:val="yellow"/>
              </w:rPr>
            </w:pPr>
            <w:r>
              <w:rPr>
                <w:rFonts w:hint="eastAsia" w:ascii="宋体" w:hAnsi="宋体" w:eastAsia="宋体" w:cs="宋体"/>
                <w:sz w:val="24"/>
                <w:szCs w:val="24"/>
              </w:rPr>
              <w:t>96.01</w:t>
            </w:r>
          </w:p>
        </w:tc>
        <w:tc>
          <w:tcPr>
            <w:tcW w:w="1560" w:type="dxa"/>
            <w:vAlign w:val="center"/>
          </w:tcPr>
          <w:p>
            <w:pPr>
              <w:spacing w:line="420" w:lineRule="exact"/>
              <w:ind w:firstLine="0" w:firstLineChars="0"/>
              <w:jc w:val="right"/>
              <w:rPr>
                <w:rFonts w:ascii="宋体" w:hAnsi="宋体" w:eastAsia="宋体" w:cs="宋体"/>
                <w:sz w:val="24"/>
                <w:szCs w:val="24"/>
              </w:rPr>
            </w:pPr>
            <w:r>
              <w:rPr>
                <w:rFonts w:hint="eastAsia" w:ascii="宋体" w:hAnsi="宋体" w:eastAsia="宋体" w:cs="宋体"/>
                <w:sz w:val="24"/>
                <w:szCs w:val="24"/>
              </w:rPr>
              <w:t>720,346,333</w:t>
            </w:r>
          </w:p>
        </w:tc>
        <w:tc>
          <w:tcPr>
            <w:tcW w:w="1179" w:type="dxa"/>
            <w:vAlign w:val="center"/>
          </w:tcPr>
          <w:p>
            <w:pPr>
              <w:spacing w:line="420" w:lineRule="exact"/>
              <w:ind w:firstLine="0" w:firstLineChars="0"/>
              <w:jc w:val="center"/>
              <w:rPr>
                <w:rFonts w:ascii="宋体" w:hAnsi="宋体" w:eastAsia="宋体" w:cs="宋体"/>
                <w:sz w:val="24"/>
                <w:szCs w:val="24"/>
              </w:rPr>
            </w:pPr>
            <w:r>
              <w:rPr>
                <w:rFonts w:hint="eastAsia" w:ascii="宋体" w:hAnsi="宋体" w:eastAsia="宋体" w:cs="宋体"/>
                <w:sz w:val="24"/>
                <w:szCs w:val="24"/>
              </w:rPr>
              <w:t>92.98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52" w:type="dxa"/>
            <w:vAlign w:val="center"/>
          </w:tcPr>
          <w:p>
            <w:pPr>
              <w:spacing w:line="420" w:lineRule="exact"/>
              <w:ind w:firstLineChars="0"/>
              <w:jc w:val="left"/>
              <w:rPr>
                <w:rFonts w:ascii="宋体" w:hAnsi="宋体" w:eastAsia="宋体" w:cs="宋体"/>
                <w:sz w:val="24"/>
                <w:szCs w:val="24"/>
              </w:rPr>
            </w:pPr>
            <w:r>
              <w:rPr>
                <w:rFonts w:hint="eastAsia" w:ascii="宋体" w:hAnsi="宋体" w:eastAsia="宋体" w:cs="宋体"/>
                <w:sz w:val="24"/>
                <w:szCs w:val="24"/>
              </w:rPr>
              <w:t>三、总股本</w:t>
            </w:r>
          </w:p>
        </w:tc>
        <w:tc>
          <w:tcPr>
            <w:tcW w:w="1559" w:type="dxa"/>
            <w:vAlign w:val="center"/>
          </w:tcPr>
          <w:p>
            <w:pPr>
              <w:spacing w:line="420" w:lineRule="exact"/>
              <w:ind w:firstLine="0" w:firstLineChars="0"/>
              <w:jc w:val="center"/>
              <w:rPr>
                <w:rFonts w:ascii="宋体" w:hAnsi="宋体" w:eastAsia="宋体" w:cs="宋体"/>
                <w:sz w:val="24"/>
                <w:szCs w:val="24"/>
                <w:highlight w:val="yellow"/>
              </w:rPr>
            </w:pPr>
            <w:r>
              <w:rPr>
                <w:rFonts w:hint="eastAsia" w:ascii="宋体" w:hAnsi="宋体" w:eastAsia="宋体" w:cs="宋体"/>
                <w:sz w:val="24"/>
                <w:szCs w:val="24"/>
              </w:rPr>
              <w:t>774,756,002</w:t>
            </w:r>
          </w:p>
        </w:tc>
        <w:tc>
          <w:tcPr>
            <w:tcW w:w="1134" w:type="dxa"/>
            <w:vAlign w:val="center"/>
          </w:tcPr>
          <w:p>
            <w:pPr>
              <w:spacing w:line="420" w:lineRule="exact"/>
              <w:ind w:firstLine="0" w:firstLineChars="0"/>
              <w:jc w:val="center"/>
              <w:rPr>
                <w:rFonts w:ascii="宋体" w:hAnsi="宋体" w:eastAsia="宋体" w:cs="宋体"/>
                <w:sz w:val="24"/>
                <w:szCs w:val="24"/>
                <w:highlight w:val="yellow"/>
              </w:rPr>
            </w:pPr>
            <w:r>
              <w:rPr>
                <w:rFonts w:hint="eastAsia" w:ascii="宋体" w:hAnsi="宋体" w:eastAsia="宋体" w:cs="宋体"/>
                <w:sz w:val="24"/>
                <w:szCs w:val="24"/>
              </w:rPr>
              <w:t>100</w:t>
            </w:r>
          </w:p>
        </w:tc>
        <w:tc>
          <w:tcPr>
            <w:tcW w:w="1560" w:type="dxa"/>
            <w:vAlign w:val="center"/>
          </w:tcPr>
          <w:p>
            <w:pPr>
              <w:spacing w:line="420" w:lineRule="exact"/>
              <w:ind w:firstLine="0" w:firstLineChars="0"/>
              <w:jc w:val="right"/>
              <w:rPr>
                <w:rFonts w:ascii="宋体" w:hAnsi="宋体" w:eastAsia="宋体" w:cs="宋体"/>
                <w:sz w:val="24"/>
                <w:szCs w:val="24"/>
              </w:rPr>
            </w:pPr>
            <w:r>
              <w:rPr>
                <w:rFonts w:hint="eastAsia" w:ascii="宋体" w:hAnsi="宋体" w:eastAsia="宋体" w:cs="宋体"/>
                <w:sz w:val="24"/>
                <w:szCs w:val="24"/>
              </w:rPr>
              <w:t>774,756,002</w:t>
            </w:r>
          </w:p>
        </w:tc>
        <w:tc>
          <w:tcPr>
            <w:tcW w:w="1179" w:type="dxa"/>
            <w:vAlign w:val="center"/>
          </w:tcPr>
          <w:p>
            <w:pPr>
              <w:spacing w:line="420" w:lineRule="exact"/>
              <w:ind w:firstLine="0" w:firstLineChars="0"/>
              <w:jc w:val="center"/>
              <w:rPr>
                <w:rFonts w:ascii="宋体" w:hAnsi="宋体" w:eastAsia="宋体" w:cs="宋体"/>
                <w:sz w:val="24"/>
                <w:szCs w:val="24"/>
              </w:rPr>
            </w:pPr>
            <w:r>
              <w:rPr>
                <w:rFonts w:hint="eastAsia" w:ascii="宋体" w:hAnsi="宋体" w:eastAsia="宋体" w:cs="宋体"/>
                <w:sz w:val="24"/>
                <w:szCs w:val="24"/>
              </w:rPr>
              <w:t>100</w:t>
            </w:r>
          </w:p>
        </w:tc>
      </w:tr>
    </w:tbl>
    <w:p>
      <w:pPr>
        <w:spacing w:line="420" w:lineRule="exact"/>
        <w:ind w:firstLine="482"/>
        <w:rPr>
          <w:rFonts w:ascii="宋体" w:hAnsi="宋体" w:eastAsia="宋体" w:cs="宋体"/>
          <w:sz w:val="24"/>
          <w:szCs w:val="24"/>
        </w:rPr>
      </w:pPr>
      <w:r>
        <w:rPr>
          <w:rFonts w:hint="eastAsia" w:ascii="宋体" w:hAnsi="宋体" w:eastAsia="宋体" w:cs="宋体"/>
          <w:b/>
          <w:bCs/>
          <w:sz w:val="24"/>
          <w:szCs w:val="24"/>
        </w:rPr>
        <w:t>9、管理层关于本次回购股份对公司经营、盈利能力、财务、研发、债务履行能力、未来发展影响和维持上市地位等情况的分析</w:t>
      </w:r>
      <w:r>
        <w:rPr>
          <w:rFonts w:ascii="宋体" w:hAnsi="宋体" w:eastAsia="宋体" w:cs="宋体"/>
          <w:b/>
          <w:bCs/>
          <w:sz w:val="24"/>
          <w:szCs w:val="24"/>
        </w:rPr>
        <w:t xml:space="preserve"> </w:t>
      </w:r>
    </w:p>
    <w:p>
      <w:pPr>
        <w:spacing w:line="420" w:lineRule="exact"/>
        <w:ind w:firstLine="480"/>
        <w:rPr>
          <w:rFonts w:ascii="宋体" w:hAnsi="宋体" w:eastAsia="宋体" w:cs="宋体"/>
          <w:sz w:val="24"/>
          <w:szCs w:val="24"/>
        </w:rPr>
      </w:pPr>
      <w:r>
        <w:rPr>
          <w:rFonts w:hint="eastAsia" w:ascii="宋体" w:hAnsi="宋体" w:eastAsia="宋体" w:cs="宋体"/>
          <w:sz w:val="24"/>
          <w:szCs w:val="24"/>
        </w:rPr>
        <w:t>若本次回购金额上限2亿元全部使用完毕，以公司2019年9月30日财务数据测算，回购股份金额占公司总资产、股属于上市公司股东的净资产、流动资产的比例分别为5.96%、11.94%、8.55%。根据公司经营、财务及未来发展情况，公司认为以人民币2亿元上限金额回购</w:t>
      </w:r>
      <w:bookmarkStart w:id="0" w:name="_GoBack"/>
      <w:r>
        <w:rPr>
          <w:rFonts w:hint="eastAsia" w:ascii="宋体" w:hAnsi="宋体" w:eastAsia="宋体" w:cs="宋体"/>
          <w:sz w:val="24"/>
          <w:szCs w:val="24"/>
        </w:rPr>
        <w:t>股份</w:t>
      </w:r>
      <w:bookmarkEnd w:id="0"/>
      <w:r>
        <w:rPr>
          <w:rFonts w:hint="eastAsia" w:ascii="宋体" w:hAnsi="宋体" w:eastAsia="宋体" w:cs="宋体"/>
          <w:sz w:val="24"/>
          <w:szCs w:val="24"/>
        </w:rPr>
        <w:t>，不会对公司的经营、财务和未来发展产生重大影响,不会改变公司的上市公司地位。</w:t>
      </w:r>
    </w:p>
    <w:p>
      <w:pPr>
        <w:spacing w:line="420" w:lineRule="exact"/>
        <w:ind w:firstLine="480"/>
        <w:rPr>
          <w:rFonts w:ascii="宋体" w:hAnsi="宋体" w:eastAsia="宋体" w:cs="宋体"/>
          <w:sz w:val="24"/>
          <w:szCs w:val="24"/>
        </w:rPr>
      </w:pPr>
      <w:r>
        <w:rPr>
          <w:rFonts w:hint="eastAsia" w:ascii="宋体" w:hAnsi="宋体" w:eastAsia="宋体" w:cs="宋体"/>
          <w:sz w:val="24"/>
          <w:szCs w:val="24"/>
        </w:rPr>
        <w:t>如前所述，若按照回购数量约2,353万股测算，回购后不会导致公司控制权发生变化，也不会改变公司的上市公司地位，股权分布情况仍然符合上市条件。</w:t>
      </w:r>
    </w:p>
    <w:p>
      <w:pPr>
        <w:spacing w:line="42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公司全体董事承诺，本次回购股份不会损害上市公司的债务履行能力和持续经营能力。</w:t>
      </w:r>
    </w:p>
    <w:p>
      <w:pPr>
        <w:spacing w:line="420" w:lineRule="exact"/>
        <w:ind w:firstLine="482"/>
        <w:rPr>
          <w:rFonts w:ascii="宋体" w:hAnsi="宋体" w:eastAsia="宋体" w:cs="宋体"/>
          <w:b/>
          <w:bCs/>
          <w:sz w:val="24"/>
          <w:szCs w:val="24"/>
        </w:rPr>
      </w:pPr>
      <w:r>
        <w:rPr>
          <w:rFonts w:hint="eastAsia" w:ascii="宋体" w:hAnsi="宋体" w:eastAsia="宋体" w:cs="宋体"/>
          <w:b/>
          <w:bCs/>
          <w:sz w:val="24"/>
          <w:szCs w:val="24"/>
        </w:rPr>
        <w:t>10、上市公司控股股东、合计持股5%以上的股东及其一致行动人、董事、监事、高级管理人员在董事会做出回购股份决议前6个月内买卖本公司股份情况及说明，是否存在单独或者与他人联合进行内幕交易及操纵市场行为的说明，以及在回购期间的增减持计划；持股5%以上股东未来六个月的减持计划（如适用）。</w:t>
      </w:r>
    </w:p>
    <w:p>
      <w:pPr>
        <w:spacing w:line="420" w:lineRule="exact"/>
        <w:ind w:firstLine="480"/>
        <w:rPr>
          <w:rFonts w:ascii="宋体" w:hAnsi="宋体" w:eastAsia="宋体" w:cs="宋体"/>
          <w:sz w:val="24"/>
          <w:szCs w:val="24"/>
        </w:rPr>
      </w:pPr>
      <w:r>
        <w:rPr>
          <w:rFonts w:hint="eastAsia" w:ascii="宋体" w:hAnsi="宋体" w:eastAsia="宋体" w:cs="宋体"/>
          <w:sz w:val="24"/>
          <w:szCs w:val="24"/>
        </w:rPr>
        <w:t>上市公司控股股东、合计持股5%以上的股东及其一致行动人、董事、监事、高级管理人员在董事会作出回购股份决议前6个月不存在买卖本公司股份的行为,不存在单独或者与他人联合进行内幕交易及市场操纵的行为；以及在回购期间未有增减持计划；持股5%以上股东未来六个月不存在减持计划。</w:t>
      </w:r>
    </w:p>
    <w:p>
      <w:pPr>
        <w:spacing w:line="420" w:lineRule="exact"/>
        <w:ind w:firstLine="482"/>
        <w:rPr>
          <w:rFonts w:ascii="宋体" w:hAnsi="宋体" w:eastAsia="宋体" w:cs="宋体"/>
          <w:b/>
          <w:bCs/>
          <w:sz w:val="24"/>
          <w:szCs w:val="24"/>
        </w:rPr>
      </w:pPr>
      <w:r>
        <w:rPr>
          <w:rFonts w:hint="eastAsia" w:ascii="宋体" w:hAnsi="宋体" w:eastAsia="宋体" w:cs="宋体"/>
          <w:b/>
          <w:bCs/>
          <w:sz w:val="24"/>
          <w:szCs w:val="24"/>
        </w:rPr>
        <w:t>11、回购股份后依法注销或者转让的相关安排</w:t>
      </w:r>
    </w:p>
    <w:p>
      <w:pPr>
        <w:spacing w:line="420" w:lineRule="exact"/>
        <w:ind w:firstLine="480"/>
        <w:rPr>
          <w:rFonts w:ascii="宋体" w:hAnsi="宋体" w:eastAsia="宋体" w:cs="宋体"/>
          <w:sz w:val="24"/>
          <w:szCs w:val="24"/>
        </w:rPr>
      </w:pPr>
      <w:r>
        <w:rPr>
          <w:rFonts w:hint="eastAsia" w:ascii="宋体" w:hAnsi="宋体" w:eastAsia="宋体" w:cs="宋体"/>
          <w:sz w:val="24"/>
          <w:szCs w:val="24"/>
        </w:rPr>
        <w:t>本次回购股份将全部用于对公司核心骨干员工实施股权激励或员工持股计划。公司如在股份回购完成之后36个月内未能实施上述用途，或所回购的股份未全部用于上述用途，未使用的部分将依法予以注销。</w:t>
      </w:r>
    </w:p>
    <w:p>
      <w:pPr>
        <w:spacing w:line="420" w:lineRule="exact"/>
        <w:ind w:left="420" w:leftChars="200" w:firstLine="0" w:firstLineChars="0"/>
        <w:rPr>
          <w:rFonts w:ascii="宋体" w:hAnsi="宋体" w:eastAsia="宋体" w:cs="宋体"/>
          <w:b/>
          <w:bCs/>
          <w:sz w:val="24"/>
          <w:szCs w:val="24"/>
        </w:rPr>
      </w:pPr>
      <w:r>
        <w:rPr>
          <w:rFonts w:hint="eastAsia" w:ascii="宋体" w:hAnsi="宋体" w:eastAsia="宋体" w:cs="宋体"/>
          <w:b/>
          <w:bCs/>
          <w:sz w:val="24"/>
          <w:szCs w:val="24"/>
        </w:rPr>
        <w:t>12、防止侵害债权人利益的相关安排</w:t>
      </w:r>
    </w:p>
    <w:p>
      <w:pPr>
        <w:spacing w:line="420" w:lineRule="exact"/>
        <w:ind w:firstLine="480"/>
        <w:rPr>
          <w:rFonts w:ascii="宋体" w:hAnsi="宋体" w:eastAsia="宋体" w:cs="宋体"/>
          <w:sz w:val="24"/>
          <w:szCs w:val="24"/>
        </w:rPr>
      </w:pPr>
      <w:r>
        <w:rPr>
          <w:rFonts w:hint="eastAsia" w:ascii="宋体" w:hAnsi="宋体" w:eastAsia="宋体" w:cs="宋体"/>
          <w:sz w:val="24"/>
          <w:szCs w:val="24"/>
        </w:rPr>
        <w:t>本次回购股份不会影响公司的正常经营和财务状况，若公司发生注销所回购股份的情形，公司将依据《公司法》等有关规定及时履行相关决策程序并通知所有债权人，充分保障债权人的合法权益。</w:t>
      </w:r>
    </w:p>
    <w:p>
      <w:pPr>
        <w:numPr>
          <w:ilvl w:val="0"/>
          <w:numId w:val="4"/>
        </w:numPr>
        <w:spacing w:line="440" w:lineRule="exact"/>
        <w:ind w:firstLine="422" w:firstLineChars="175"/>
        <w:rPr>
          <w:rFonts w:ascii="宋体" w:hAnsi="宋体" w:eastAsia="宋体" w:cs="宋体"/>
          <w:b/>
          <w:bCs/>
          <w:color w:val="000000"/>
          <w:sz w:val="24"/>
          <w:szCs w:val="24"/>
        </w:rPr>
      </w:pPr>
      <w:r>
        <w:rPr>
          <w:rFonts w:hint="eastAsia" w:ascii="宋体" w:hAnsi="宋体" w:eastAsia="宋体" w:cs="宋体"/>
          <w:b/>
          <w:bCs/>
          <w:color w:val="000000"/>
          <w:sz w:val="24"/>
          <w:szCs w:val="24"/>
        </w:rPr>
        <w:t>回购股份的审议程序及信息披露情况</w:t>
      </w:r>
    </w:p>
    <w:p>
      <w:pPr>
        <w:spacing w:line="440" w:lineRule="exact"/>
        <w:ind w:firstLine="480"/>
        <w:rPr>
          <w:rFonts w:ascii="宋体" w:hAnsi="宋体" w:eastAsia="宋体" w:cs="宋体"/>
          <w:sz w:val="24"/>
          <w:szCs w:val="24"/>
        </w:rPr>
      </w:pPr>
      <w:r>
        <w:rPr>
          <w:rFonts w:hint="eastAsia" w:ascii="宋体" w:hAnsi="宋体" w:eastAsia="宋体" w:cs="宋体"/>
          <w:sz w:val="24"/>
          <w:szCs w:val="24"/>
        </w:rPr>
        <w:t>2020年1月6日，公司召开第六届董事会第二十七次会议，审议通过了《关于回购公司股份方案的议案》，且出席本次董事会的董事人数超过三分之二，独立董事发表了明确同意的意见。根据相关法规及《公司章程》规定，本次回购股份事项无需提交公司股东大会审议。具体内容详见2020年1月7日公司披露于指定信息披露媒体《证券时报》、《中国证券报》及巨潮资讯网（www.cninfo.com.cn）的《关于回购公司股份方案的公告》和《第六届董事会第二十七次会议决议公告》以及《独立董事关于回购公司股份方案的独立意见》。</w:t>
      </w:r>
    </w:p>
    <w:p>
      <w:pPr>
        <w:spacing w:line="440" w:lineRule="exact"/>
        <w:ind w:left="420" w:leftChars="200" w:firstLine="0" w:firstLineChars="0"/>
        <w:rPr>
          <w:rFonts w:ascii="宋体" w:hAnsi="宋体"/>
          <w:bCs/>
          <w:sz w:val="24"/>
        </w:rPr>
      </w:pPr>
      <w:r>
        <w:rPr>
          <w:rFonts w:hint="eastAsia" w:ascii="宋体" w:hAnsi="宋体" w:eastAsia="宋体" w:cs="宋体"/>
          <w:b/>
          <w:bCs/>
          <w:color w:val="000000"/>
          <w:sz w:val="24"/>
          <w:szCs w:val="24"/>
        </w:rPr>
        <w:t>三、股份回购专户的开立情况</w:t>
      </w:r>
      <w:r>
        <w:rPr>
          <w:rFonts w:ascii="宋体" w:hAnsi="宋体" w:eastAsia="宋体" w:cs="宋体"/>
          <w:sz w:val="24"/>
          <w:szCs w:val="24"/>
        </w:rPr>
        <w:t xml:space="preserve"> </w:t>
      </w:r>
    </w:p>
    <w:p>
      <w:pPr>
        <w:spacing w:line="440" w:lineRule="exact"/>
        <w:ind w:firstLine="480"/>
        <w:rPr>
          <w:rFonts w:ascii="宋体" w:hAnsi="宋体" w:eastAsia="宋体" w:cs="宋体"/>
          <w:sz w:val="24"/>
          <w:szCs w:val="24"/>
        </w:rPr>
      </w:pPr>
      <w:r>
        <w:rPr>
          <w:rFonts w:hint="eastAsia" w:ascii="宋体" w:hAnsi="宋体" w:eastAsia="宋体" w:cs="宋体"/>
          <w:color w:val="000000"/>
          <w:sz w:val="24"/>
          <w:szCs w:val="24"/>
        </w:rPr>
        <w:t>根据相关规定，公司已在中国证券登记结算有限责任公司深圳分公司开立了股份回购专用账户，该专用账户仅可用于回购公司股份。</w:t>
      </w:r>
      <w:r>
        <w:rPr>
          <w:rFonts w:ascii="宋体" w:hAnsi="宋体" w:eastAsia="宋体" w:cs="宋体"/>
          <w:sz w:val="24"/>
          <w:szCs w:val="24"/>
        </w:rPr>
        <w:t xml:space="preserve"> </w:t>
      </w:r>
    </w:p>
    <w:p>
      <w:pPr>
        <w:numPr>
          <w:ilvl w:val="0"/>
          <w:numId w:val="5"/>
        </w:numPr>
        <w:spacing w:line="440" w:lineRule="exact"/>
        <w:ind w:left="420" w:leftChars="200" w:firstLine="0" w:firstLineChars="0"/>
        <w:rPr>
          <w:rFonts w:ascii="宋体" w:hAnsi="宋体" w:eastAsia="宋体" w:cs="宋体"/>
          <w:b/>
          <w:bCs/>
          <w:color w:val="000000"/>
          <w:sz w:val="24"/>
          <w:szCs w:val="24"/>
        </w:rPr>
      </w:pPr>
      <w:r>
        <w:rPr>
          <w:rFonts w:hint="eastAsia" w:ascii="宋体" w:hAnsi="宋体" w:eastAsia="宋体" w:cs="宋体"/>
          <w:b/>
          <w:bCs/>
          <w:color w:val="000000"/>
          <w:sz w:val="24"/>
          <w:szCs w:val="24"/>
        </w:rPr>
        <w:t>回购期间的信息披露安排</w:t>
      </w:r>
    </w:p>
    <w:p>
      <w:pPr>
        <w:spacing w:line="44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根据相关法律法规和规范性文件的规定，公司将在实施回购期间及时履行信息披露义务并将在定期报告中披露回购进展情况：</w:t>
      </w:r>
    </w:p>
    <w:p>
      <w:pPr>
        <w:numPr>
          <w:ilvl w:val="0"/>
          <w:numId w:val="6"/>
        </w:numPr>
        <w:spacing w:line="44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公司将在首次回购股份事实发生的次日予以披露；</w:t>
      </w:r>
    </w:p>
    <w:p>
      <w:pPr>
        <w:numPr>
          <w:ilvl w:val="0"/>
          <w:numId w:val="6"/>
        </w:numPr>
        <w:spacing w:line="44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公司回购股份占公司总股份的比例每增加1%，将在该事实发生之日起三日内予以披露；</w:t>
      </w:r>
    </w:p>
    <w:p>
      <w:pPr>
        <w:numPr>
          <w:ilvl w:val="0"/>
          <w:numId w:val="6"/>
        </w:numPr>
        <w:spacing w:line="44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每个月的前三个交易日内披露截至上月末的回购进展情况；</w:t>
      </w:r>
    </w:p>
    <w:p>
      <w:pPr>
        <w:numPr>
          <w:ilvl w:val="0"/>
          <w:numId w:val="6"/>
        </w:numPr>
        <w:spacing w:line="44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公司如在回购股份方案规定的回购实施期限过半时仍未实施回购，董事会将公告未能实施回购的原因和后续回购安排；</w:t>
      </w:r>
    </w:p>
    <w:p>
      <w:pPr>
        <w:numPr>
          <w:ilvl w:val="0"/>
          <w:numId w:val="6"/>
        </w:numPr>
        <w:spacing w:line="44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回购期限届满或者回购股份已实施完毕的，公司将停止回购行为，并在两个交易日内披露回购结果暨股份变动公告。本次回购股份实施完成后，公司将已回购股份转让给员工持股计划或用于股权激励授予员工，或者对已回购股份予以注销的，公司将按照相关规定履行审批程序及信息披露义务。</w:t>
      </w:r>
    </w:p>
    <w:p>
      <w:pPr>
        <w:numPr>
          <w:ilvl w:val="0"/>
          <w:numId w:val="5"/>
        </w:numPr>
        <w:spacing w:line="440" w:lineRule="exact"/>
        <w:ind w:left="420" w:leftChars="200" w:firstLine="0" w:firstLineChars="0"/>
        <w:rPr>
          <w:rFonts w:ascii="宋体" w:hAnsi="宋体" w:eastAsia="宋体" w:cs="宋体"/>
          <w:b/>
          <w:bCs/>
          <w:color w:val="000000"/>
          <w:sz w:val="24"/>
          <w:szCs w:val="24"/>
        </w:rPr>
      </w:pPr>
      <w:r>
        <w:rPr>
          <w:rFonts w:hint="eastAsia" w:ascii="宋体" w:hAnsi="宋体" w:eastAsia="宋体" w:cs="宋体"/>
          <w:b/>
          <w:bCs/>
          <w:color w:val="000000"/>
          <w:sz w:val="24"/>
          <w:szCs w:val="24"/>
        </w:rPr>
        <w:t>回购股份的风险提示</w:t>
      </w:r>
    </w:p>
    <w:p>
      <w:pPr>
        <w:spacing w:line="440" w:lineRule="exact"/>
        <w:ind w:firstLine="480"/>
        <w:rPr>
          <w:rFonts w:ascii="宋体" w:hAnsi="宋体"/>
          <w:bCs/>
          <w:sz w:val="24"/>
        </w:rPr>
      </w:pPr>
      <w:r>
        <w:rPr>
          <w:rFonts w:hint="eastAsia" w:ascii="宋体" w:hAnsi="宋体"/>
          <w:bCs/>
          <w:sz w:val="24"/>
        </w:rPr>
        <w:t>1、本次回购股份存在回购期限内股票价格持续超出回购价格上限，而导致本次回购计划无法顺利实施的风险。</w:t>
      </w:r>
    </w:p>
    <w:p>
      <w:pPr>
        <w:spacing w:line="440" w:lineRule="exact"/>
        <w:ind w:firstLine="480"/>
        <w:rPr>
          <w:rFonts w:ascii="宋体" w:hAnsi="宋体"/>
          <w:bCs/>
          <w:sz w:val="24"/>
        </w:rPr>
      </w:pPr>
      <w:r>
        <w:rPr>
          <w:rFonts w:hint="eastAsia" w:ascii="宋体" w:hAnsi="宋体"/>
          <w:bCs/>
          <w:sz w:val="24"/>
        </w:rPr>
        <w:t>2、本次回购股份用于对核心骨干员工实施股权激励或员工持股计划，可能因股权激励或员工持股计划未能经公司董事会和股东大会等决策机构审议通过、激励对象放弃认购等原因，导致已回购股票无法全部授出的风险。</w:t>
      </w:r>
    </w:p>
    <w:p>
      <w:pPr>
        <w:spacing w:line="440" w:lineRule="exact"/>
        <w:ind w:firstLine="480"/>
        <w:rPr>
          <w:rFonts w:ascii="宋体" w:hAnsi="宋体"/>
          <w:bCs/>
          <w:sz w:val="24"/>
        </w:rPr>
      </w:pPr>
      <w:r>
        <w:rPr>
          <w:rFonts w:hint="eastAsia" w:ascii="宋体" w:hAnsi="宋体"/>
          <w:bCs/>
          <w:sz w:val="24"/>
        </w:rPr>
        <w:t>3、公司将在回购期限内根据市场情况择机实施股份回购并根据进展情况及时履行信息披露义务。</w:t>
      </w:r>
    </w:p>
    <w:p>
      <w:pPr>
        <w:spacing w:line="440" w:lineRule="exact"/>
        <w:ind w:firstLine="480"/>
        <w:rPr>
          <w:rFonts w:ascii="宋体" w:hAnsi="宋体" w:eastAsia="宋体" w:cs="宋体"/>
          <w:b/>
          <w:bCs/>
          <w:color w:val="000000"/>
          <w:sz w:val="24"/>
          <w:szCs w:val="24"/>
        </w:rPr>
      </w:pPr>
      <w:r>
        <w:rPr>
          <w:rFonts w:hint="eastAsia" w:ascii="宋体" w:hAnsi="宋体"/>
          <w:bCs/>
          <w:sz w:val="24"/>
        </w:rPr>
        <w:t>敬请投资者注意投资风险。</w:t>
      </w:r>
    </w:p>
    <w:p>
      <w:pPr>
        <w:numPr>
          <w:ilvl w:val="0"/>
          <w:numId w:val="5"/>
        </w:numPr>
        <w:spacing w:line="440" w:lineRule="exact"/>
        <w:ind w:left="420" w:leftChars="200" w:firstLine="0" w:firstLineChars="0"/>
        <w:rPr>
          <w:rFonts w:ascii="宋体" w:hAnsi="宋体" w:eastAsia="宋体" w:cs="宋体"/>
          <w:b/>
          <w:bCs/>
          <w:color w:val="000000"/>
          <w:sz w:val="24"/>
          <w:szCs w:val="24"/>
        </w:rPr>
      </w:pPr>
      <w:r>
        <w:rPr>
          <w:rFonts w:hint="eastAsia" w:ascii="宋体" w:hAnsi="宋体" w:eastAsia="宋体" w:cs="宋体"/>
          <w:b/>
          <w:bCs/>
          <w:color w:val="000000"/>
          <w:sz w:val="24"/>
          <w:szCs w:val="24"/>
        </w:rPr>
        <w:t>备查文件</w:t>
      </w:r>
    </w:p>
    <w:p>
      <w:pPr>
        <w:numPr>
          <w:ilvl w:val="0"/>
          <w:numId w:val="7"/>
        </w:numPr>
        <w:spacing w:line="440" w:lineRule="exact"/>
        <w:ind w:firstLine="480"/>
        <w:rPr>
          <w:rFonts w:ascii="宋体" w:hAnsi="宋体" w:eastAsia="宋体" w:cs="宋体"/>
          <w:sz w:val="24"/>
          <w:szCs w:val="24"/>
        </w:rPr>
      </w:pPr>
      <w:r>
        <w:rPr>
          <w:rFonts w:hint="eastAsia" w:ascii="宋体" w:hAnsi="宋体" w:eastAsia="宋体" w:cs="宋体"/>
          <w:sz w:val="24"/>
          <w:szCs w:val="24"/>
        </w:rPr>
        <w:t>兔宝宝第六届董事会第二十七次会议决议；</w:t>
      </w:r>
    </w:p>
    <w:p>
      <w:pPr>
        <w:numPr>
          <w:ilvl w:val="0"/>
          <w:numId w:val="7"/>
        </w:numPr>
        <w:spacing w:line="440" w:lineRule="exact"/>
        <w:ind w:firstLine="480"/>
        <w:rPr>
          <w:rFonts w:ascii="宋体" w:hAnsi="宋体" w:eastAsia="宋体" w:cs="宋体"/>
          <w:sz w:val="24"/>
          <w:szCs w:val="24"/>
        </w:rPr>
      </w:pPr>
      <w:r>
        <w:rPr>
          <w:rFonts w:hint="eastAsia" w:ascii="宋体" w:hAnsi="宋体" w:eastAsia="宋体" w:cs="宋体"/>
          <w:sz w:val="24"/>
          <w:szCs w:val="24"/>
        </w:rPr>
        <w:t>兔宝宝独立董事关于回购公司股份方案的独立意见；</w:t>
      </w:r>
    </w:p>
    <w:p>
      <w:pPr>
        <w:numPr>
          <w:ilvl w:val="0"/>
          <w:numId w:val="7"/>
        </w:numPr>
        <w:spacing w:line="440" w:lineRule="exact"/>
        <w:ind w:firstLine="480"/>
        <w:rPr>
          <w:rFonts w:ascii="宋体" w:hAnsi="宋体" w:eastAsia="宋体" w:cs="宋体"/>
          <w:sz w:val="24"/>
          <w:szCs w:val="24"/>
        </w:rPr>
      </w:pPr>
      <w:r>
        <w:rPr>
          <w:rFonts w:hint="eastAsia" w:ascii="宋体" w:hAnsi="宋体" w:eastAsia="宋体" w:cs="宋体"/>
          <w:sz w:val="24"/>
          <w:szCs w:val="24"/>
        </w:rPr>
        <w:t>兔宝宝关于回购公司股份方案的公告。</w:t>
      </w:r>
    </w:p>
    <w:p>
      <w:pPr>
        <w:spacing w:line="440" w:lineRule="exact"/>
        <w:ind w:firstLine="480"/>
        <w:rPr>
          <w:rFonts w:ascii="宋体" w:hAnsi="宋体" w:eastAsia="宋体" w:cs="宋体"/>
          <w:sz w:val="24"/>
          <w:szCs w:val="24"/>
        </w:rPr>
      </w:pPr>
      <w:r>
        <w:rPr>
          <w:rFonts w:hint="eastAsia" w:ascii="宋体" w:hAnsi="宋体" w:eastAsia="宋体" w:cs="宋体"/>
          <w:sz w:val="24"/>
          <w:szCs w:val="24"/>
        </w:rPr>
        <w:t>特此公告。</w:t>
      </w:r>
    </w:p>
    <w:p>
      <w:pPr>
        <w:spacing w:line="440" w:lineRule="exact"/>
        <w:ind w:firstLine="480"/>
        <w:rPr>
          <w:rFonts w:ascii="宋体" w:hAnsi="宋体" w:eastAsia="宋体" w:cs="宋体"/>
          <w:sz w:val="24"/>
          <w:szCs w:val="24"/>
        </w:rPr>
      </w:pPr>
    </w:p>
    <w:p>
      <w:pPr>
        <w:spacing w:line="440" w:lineRule="exact"/>
        <w:ind w:firstLine="480"/>
        <w:jc w:val="right"/>
        <w:rPr>
          <w:rFonts w:ascii="宋体" w:hAnsi="宋体" w:eastAsia="宋体" w:cs="宋体"/>
          <w:sz w:val="24"/>
        </w:rPr>
      </w:pPr>
      <w:r>
        <w:rPr>
          <w:rFonts w:hint="eastAsia" w:ascii="宋体" w:hAnsi="宋体" w:eastAsia="宋体" w:cs="宋体"/>
          <w:sz w:val="24"/>
        </w:rPr>
        <w:t>德华兔宝宝装饰新材股份有限公司</w:t>
      </w:r>
    </w:p>
    <w:p>
      <w:pPr>
        <w:spacing w:line="440" w:lineRule="exact"/>
        <w:ind w:firstLine="6720" w:firstLineChars="2800"/>
        <w:rPr>
          <w:rFonts w:ascii="宋体" w:hAnsi="宋体" w:eastAsia="宋体" w:cs="宋体"/>
          <w:sz w:val="24"/>
        </w:rPr>
      </w:pPr>
      <w:r>
        <w:rPr>
          <w:rFonts w:hint="eastAsia" w:ascii="宋体" w:hAnsi="宋体" w:eastAsia="宋体" w:cs="宋体"/>
          <w:sz w:val="24"/>
        </w:rPr>
        <w:t>董 事 会</w:t>
      </w:r>
    </w:p>
    <w:p>
      <w:pPr>
        <w:spacing w:line="440" w:lineRule="exact"/>
        <w:ind w:firstLine="480"/>
        <w:jc w:val="center"/>
        <w:rPr>
          <w:rFonts w:ascii="宋体" w:hAnsi="宋体" w:eastAsia="宋体" w:cs="宋体"/>
          <w:sz w:val="24"/>
          <w:szCs w:val="24"/>
        </w:rPr>
      </w:pPr>
      <w:r>
        <w:rPr>
          <w:rFonts w:hint="eastAsia" w:ascii="宋体" w:hAnsi="宋体" w:eastAsia="宋体" w:cs="宋体"/>
          <w:sz w:val="24"/>
        </w:rPr>
        <w:t xml:space="preserve">                                          2020年1月7日</w:t>
      </w:r>
    </w:p>
    <w:sectPr>
      <w:headerReference r:id="rId5" w:type="first"/>
      <w:footerReference r:id="rId8" w:type="first"/>
      <w:headerReference r:id="rId3" w:type="default"/>
      <w:footerReference r:id="rId6" w:type="default"/>
      <w:headerReference r:id="rId4" w:type="even"/>
      <w:footerReference r:id="rId7" w:type="even"/>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EFF" w:usb1="C0007843" w:usb2="00000009" w:usb3="00000000" w:csb0="400001FF" w:csb1="FFFF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57C4C0F"/>
    <w:multiLevelType w:val="singleLevel"/>
    <w:tmpl w:val="E57C4C0F"/>
    <w:lvl w:ilvl="0" w:tentative="0">
      <w:start w:val="1"/>
      <w:numFmt w:val="chineseCounting"/>
      <w:suff w:val="nothing"/>
      <w:lvlText w:val="%1、"/>
      <w:lvlJc w:val="left"/>
      <w:rPr>
        <w:rFonts w:hint="eastAsia"/>
      </w:rPr>
    </w:lvl>
  </w:abstractNum>
  <w:abstractNum w:abstractNumId="1">
    <w:nsid w:val="5DDB859F"/>
    <w:multiLevelType w:val="singleLevel"/>
    <w:tmpl w:val="5DDB859F"/>
    <w:lvl w:ilvl="0" w:tentative="0">
      <w:start w:val="1"/>
      <w:numFmt w:val="decimal"/>
      <w:suff w:val="nothing"/>
      <w:lvlText w:val="%1、"/>
      <w:lvlJc w:val="left"/>
    </w:lvl>
  </w:abstractNum>
  <w:abstractNum w:abstractNumId="2">
    <w:nsid w:val="5DDB885B"/>
    <w:multiLevelType w:val="singleLevel"/>
    <w:tmpl w:val="5DDB885B"/>
    <w:lvl w:ilvl="0" w:tentative="0">
      <w:start w:val="1"/>
      <w:numFmt w:val="decimal"/>
      <w:suff w:val="nothing"/>
      <w:lvlText w:val="（%1）"/>
      <w:lvlJc w:val="left"/>
    </w:lvl>
  </w:abstractNum>
  <w:abstractNum w:abstractNumId="3">
    <w:nsid w:val="5DDB89E0"/>
    <w:multiLevelType w:val="singleLevel"/>
    <w:tmpl w:val="5DDB89E0"/>
    <w:lvl w:ilvl="0" w:tentative="0">
      <w:start w:val="2"/>
      <w:numFmt w:val="chineseCounting"/>
      <w:suff w:val="nothing"/>
      <w:lvlText w:val="%1、"/>
      <w:lvlJc w:val="left"/>
    </w:lvl>
  </w:abstractNum>
  <w:abstractNum w:abstractNumId="4">
    <w:nsid w:val="5DDB8B0E"/>
    <w:multiLevelType w:val="singleLevel"/>
    <w:tmpl w:val="5DDB8B0E"/>
    <w:lvl w:ilvl="0" w:tentative="0">
      <w:start w:val="4"/>
      <w:numFmt w:val="chineseCounting"/>
      <w:suff w:val="nothing"/>
      <w:lvlText w:val="%1、"/>
      <w:lvlJc w:val="left"/>
    </w:lvl>
  </w:abstractNum>
  <w:abstractNum w:abstractNumId="5">
    <w:nsid w:val="5DDB8B33"/>
    <w:multiLevelType w:val="singleLevel"/>
    <w:tmpl w:val="5DDB8B33"/>
    <w:lvl w:ilvl="0" w:tentative="0">
      <w:start w:val="1"/>
      <w:numFmt w:val="decimal"/>
      <w:suff w:val="nothing"/>
      <w:lvlText w:val="%1、"/>
      <w:lvlJc w:val="left"/>
    </w:lvl>
  </w:abstractNum>
  <w:abstractNum w:abstractNumId="6">
    <w:nsid w:val="5DDB8BCB"/>
    <w:multiLevelType w:val="singleLevel"/>
    <w:tmpl w:val="5DDB8BCB"/>
    <w:lvl w:ilvl="0" w:tentative="0">
      <w:start w:val="1"/>
      <w:numFmt w:val="decimal"/>
      <w:suff w:val="nothing"/>
      <w:lvlText w:val="%1、"/>
      <w:lvlJc w:val="left"/>
    </w:lvl>
  </w:abstractNum>
  <w:num w:numId="1">
    <w:abstractNumId w:val="1"/>
  </w:num>
  <w:num w:numId="2">
    <w:abstractNumId w:val="2"/>
  </w:num>
  <w:num w:numId="3">
    <w:abstractNumId w:val="0"/>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embedSystemFont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C6E0842"/>
    <w:rsid w:val="00207920"/>
    <w:rsid w:val="003D0708"/>
    <w:rsid w:val="006266F3"/>
    <w:rsid w:val="00687506"/>
    <w:rsid w:val="006D7C7C"/>
    <w:rsid w:val="00A03703"/>
    <w:rsid w:val="00CF4A78"/>
    <w:rsid w:val="04706286"/>
    <w:rsid w:val="0562088D"/>
    <w:rsid w:val="0AED6F3B"/>
    <w:rsid w:val="127561DB"/>
    <w:rsid w:val="12BB3812"/>
    <w:rsid w:val="13C97107"/>
    <w:rsid w:val="17852561"/>
    <w:rsid w:val="1D5B2254"/>
    <w:rsid w:val="274E79FD"/>
    <w:rsid w:val="289E75FB"/>
    <w:rsid w:val="2F2F0832"/>
    <w:rsid w:val="33A9423F"/>
    <w:rsid w:val="36722E29"/>
    <w:rsid w:val="38621304"/>
    <w:rsid w:val="386875D0"/>
    <w:rsid w:val="3C6E0842"/>
    <w:rsid w:val="3C7D00E2"/>
    <w:rsid w:val="3DD1659E"/>
    <w:rsid w:val="3F8A696F"/>
    <w:rsid w:val="3FD14619"/>
    <w:rsid w:val="3FD43490"/>
    <w:rsid w:val="40446AAC"/>
    <w:rsid w:val="415B402B"/>
    <w:rsid w:val="41FC2824"/>
    <w:rsid w:val="449F051D"/>
    <w:rsid w:val="46F755B0"/>
    <w:rsid w:val="47EB3FCD"/>
    <w:rsid w:val="4DDC1D5B"/>
    <w:rsid w:val="56F47ADE"/>
    <w:rsid w:val="5742643D"/>
    <w:rsid w:val="581C173F"/>
    <w:rsid w:val="5B1335C6"/>
    <w:rsid w:val="5BD93B47"/>
    <w:rsid w:val="60553452"/>
    <w:rsid w:val="61C51EC6"/>
    <w:rsid w:val="64085775"/>
    <w:rsid w:val="64F53602"/>
    <w:rsid w:val="651F2D0E"/>
    <w:rsid w:val="666B4F5F"/>
    <w:rsid w:val="671C19BD"/>
    <w:rsid w:val="6811604B"/>
    <w:rsid w:val="68AC5C36"/>
    <w:rsid w:val="6CD37524"/>
    <w:rsid w:val="6E113AAB"/>
    <w:rsid w:val="6FDB034D"/>
    <w:rsid w:val="73C86DCD"/>
    <w:rsid w:val="742F6009"/>
    <w:rsid w:val="772E21D3"/>
    <w:rsid w:val="779A760A"/>
    <w:rsid w:val="7CB031D0"/>
    <w:rsid w:val="7D2913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00" w:lineRule="exact"/>
      <w:ind w:firstLine="200" w:firstLineChars="20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spacing w:line="240" w:lineRule="atLeast"/>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da"/>
    <w:basedOn w:val="4"/>
    <w:qFormat/>
    <w:uiPriority w:val="0"/>
  </w:style>
  <w:style w:type="character" w:customStyle="1" w:styleId="7">
    <w:name w:val="fontstyle01"/>
    <w:basedOn w:val="4"/>
    <w:qFormat/>
    <w:uiPriority w:val="0"/>
    <w:rPr>
      <w:rFonts w:hint="eastAsia" w:ascii="宋体" w:hAnsi="宋体" w:eastAsia="宋体" w:cs="宋体"/>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748</Words>
  <Characters>4269</Characters>
  <Lines>35</Lines>
  <Paragraphs>10</Paragraphs>
  <ScaleCrop>false</ScaleCrop>
  <LinksUpToDate>false</LinksUpToDate>
  <CharactersWithSpaces>5007</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2018-03-08T01:11:00Z</dcterms:created>
  <dc:creator>白首、不相离</dc:creator>
  <cp:lastModifiedBy>admin</cp:lastModifiedBy>
  <dcterms:modified xsi:type="dcterms:W3CDTF">2020-01-06T08:34:11Z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