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exact"/>
        <w:jc w:val="center"/>
        <w:rPr>
          <w:rFonts w:hint="default" w:ascii="宋体" w:hAnsi="宋体" w:cs="宋体"/>
          <w:color w:val="000000"/>
          <w:kern w:val="0"/>
          <w:sz w:val="24"/>
          <w:szCs w:val="24"/>
          <w:highlight w:val="none"/>
          <w:lang w:val="en-US"/>
        </w:rPr>
      </w:pPr>
      <w:r>
        <w:rPr>
          <w:rFonts w:hint="eastAsia" w:ascii="宋体" w:hAnsi="宋体" w:cs="宋体"/>
          <w:color w:val="000000"/>
          <w:kern w:val="0"/>
          <w:sz w:val="24"/>
          <w:szCs w:val="24"/>
          <w:highlight w:val="none"/>
        </w:rPr>
        <w:t xml:space="preserve">证券代码：002043             证券简称：兔宝宝              </w:t>
      </w:r>
      <w:r>
        <w:rPr>
          <w:rFonts w:hint="eastAsia" w:ascii="宋体" w:hAnsi="宋体" w:cs="宋体"/>
          <w:color w:val="000000"/>
          <w:kern w:val="0"/>
          <w:sz w:val="24"/>
          <w:szCs w:val="24"/>
          <w:highlight w:val="none"/>
          <w:lang w:val="en-US" w:eastAsia="zh-CN"/>
        </w:rPr>
        <w:t>公告</w:t>
      </w:r>
      <w:r>
        <w:rPr>
          <w:rFonts w:hint="eastAsia" w:ascii="宋体" w:hAnsi="宋体" w:cs="宋体"/>
          <w:color w:val="000000"/>
          <w:kern w:val="0"/>
          <w:sz w:val="24"/>
          <w:szCs w:val="24"/>
          <w:highlight w:val="none"/>
        </w:rPr>
        <w:t>编号：</w:t>
      </w:r>
      <w:r>
        <w:rPr>
          <w:rFonts w:hint="eastAsia" w:ascii="宋体" w:hAnsi="宋体" w:cs="宋体"/>
          <w:color w:val="000000"/>
          <w:kern w:val="0"/>
          <w:sz w:val="24"/>
          <w:szCs w:val="24"/>
          <w:highlight w:val="none"/>
          <w:lang w:val="en-US" w:eastAsia="zh-CN"/>
        </w:rPr>
        <w:t>2024</w:t>
      </w:r>
      <w:r>
        <w:rPr>
          <w:rFonts w:hint="eastAsia" w:ascii="宋体" w:hAnsi="宋体" w:cs="宋体"/>
          <w:color w:val="000000"/>
          <w:kern w:val="0"/>
          <w:sz w:val="24"/>
          <w:szCs w:val="24"/>
          <w:highlight w:val="none"/>
        </w:rPr>
        <w:t>-</w:t>
      </w:r>
      <w:r>
        <w:rPr>
          <w:rFonts w:hint="eastAsia" w:ascii="宋体" w:hAnsi="宋体" w:cs="宋体"/>
          <w:kern w:val="0"/>
          <w:sz w:val="24"/>
          <w:szCs w:val="24"/>
          <w:highlight w:val="none"/>
          <w:lang w:val="en-US" w:eastAsia="zh-CN"/>
        </w:rPr>
        <w:t xml:space="preserve">032 </w:t>
      </w:r>
    </w:p>
    <w:p>
      <w:pPr>
        <w:autoSpaceDE w:val="0"/>
        <w:autoSpaceDN w:val="0"/>
        <w:adjustRightInd w:val="0"/>
        <w:spacing w:before="159" w:beforeLines="50" w:beforeAutospacing="0" w:afterAutospacing="0" w:line="340" w:lineRule="exact"/>
        <w:jc w:val="center"/>
        <w:rPr>
          <w:rFonts w:hint="eastAsia" w:ascii="宋体" w:hAnsi="宋体" w:eastAsia="宋体" w:cs="Times New Roman"/>
          <w:b/>
          <w:bCs/>
          <w:color w:val="000000"/>
          <w:kern w:val="0"/>
          <w:sz w:val="30"/>
          <w:szCs w:val="32"/>
          <w:highlight w:val="none"/>
        </w:rPr>
      </w:pPr>
      <w:r>
        <w:rPr>
          <w:rFonts w:hint="eastAsia" w:ascii="宋体" w:hAnsi="宋体" w:cs="宋体"/>
          <w:b/>
          <w:bCs/>
          <w:color w:val="000000"/>
          <w:kern w:val="0"/>
          <w:sz w:val="30"/>
          <w:szCs w:val="30"/>
          <w:highlight w:val="none"/>
        </w:rPr>
        <w:br w:type="textWrapping"/>
      </w:r>
      <w:r>
        <w:rPr>
          <w:rFonts w:hint="eastAsia" w:ascii="宋体" w:hAnsi="宋体" w:eastAsia="宋体" w:cs="Times New Roman"/>
          <w:b/>
          <w:bCs/>
          <w:color w:val="000000"/>
          <w:kern w:val="0"/>
          <w:sz w:val="30"/>
          <w:szCs w:val="32"/>
          <w:highlight w:val="none"/>
        </w:rPr>
        <w:t>德华兔宝宝装饰新材股份有限公司</w:t>
      </w:r>
    </w:p>
    <w:p>
      <w:pPr>
        <w:keepNext w:val="0"/>
        <w:keepLines w:val="0"/>
        <w:pageBreakBefore w:val="0"/>
        <w:widowControl w:val="0"/>
        <w:kinsoku/>
        <w:wordWrap/>
        <w:overflowPunct/>
        <w:topLinePunct w:val="0"/>
        <w:autoSpaceDE w:val="0"/>
        <w:autoSpaceDN w:val="0"/>
        <w:bidi w:val="0"/>
        <w:adjustRightInd w:val="0"/>
        <w:snapToGrid/>
        <w:spacing w:before="159" w:beforeLines="50" w:beforeAutospacing="0" w:afterAutospacing="0" w:line="340" w:lineRule="exact"/>
        <w:jc w:val="center"/>
        <w:textAlignment w:val="auto"/>
        <w:rPr>
          <w:rFonts w:hint="eastAsia" w:ascii="宋体" w:hAnsi="宋体" w:cs="宋体"/>
          <w:b/>
          <w:bCs/>
          <w:color w:val="000000"/>
          <w:kern w:val="0"/>
          <w:sz w:val="30"/>
          <w:szCs w:val="30"/>
          <w:highlight w:val="none"/>
        </w:rPr>
      </w:pPr>
      <w:r>
        <w:rPr>
          <w:rFonts w:hint="eastAsia" w:ascii="宋体" w:hAnsi="宋体" w:eastAsia="宋体" w:cs="Times New Roman"/>
          <w:b/>
          <w:bCs/>
          <w:color w:val="000000"/>
          <w:kern w:val="0"/>
          <w:sz w:val="30"/>
          <w:szCs w:val="32"/>
          <w:highlight w:val="none"/>
        </w:rPr>
        <w:t>关于</w:t>
      </w:r>
      <w:r>
        <w:rPr>
          <w:rFonts w:hint="eastAsia" w:ascii="宋体" w:hAnsi="宋体" w:eastAsia="宋体" w:cs="Times New Roman"/>
          <w:b/>
          <w:bCs/>
          <w:color w:val="000000"/>
          <w:kern w:val="0"/>
          <w:sz w:val="30"/>
          <w:szCs w:val="32"/>
          <w:highlight w:val="none"/>
          <w:lang w:val="en-US" w:eastAsia="zh-CN"/>
        </w:rPr>
        <w:t>公司第二期员工持股计划第二个锁定期届满的提示性公告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cs="宋体"/>
          <w:b/>
          <w:bCs/>
          <w:color w:val="000000"/>
          <w:kern w:val="0"/>
          <w:sz w:val="30"/>
          <w:szCs w:val="30"/>
          <w:highlight w:val="none"/>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cs="宋体"/>
          <w:color w:val="000000"/>
          <w:kern w:val="0"/>
          <w:sz w:val="24"/>
          <w:szCs w:val="24"/>
          <w:highlight w:val="none"/>
        </w:rPr>
      </w:pPr>
      <w:r>
        <w:rPr>
          <w:rFonts w:hint="eastAsia" w:ascii="宋体" w:hAnsi="宋体" w:cs="宋体"/>
          <w:b/>
          <w:bCs/>
          <w:color w:val="000000"/>
          <w:kern w:val="0"/>
          <w:sz w:val="30"/>
          <w:szCs w:val="30"/>
          <w:highlight w:val="none"/>
        </w:rPr>
        <w:t xml:space="preserve">   </w:t>
      </w:r>
      <w:r>
        <w:rPr>
          <w:rFonts w:hint="eastAsia" w:ascii="宋体" w:hAnsi="宋体" w:cs="宋体"/>
          <w:color w:val="000000"/>
          <w:kern w:val="0"/>
          <w:sz w:val="24"/>
          <w:szCs w:val="24"/>
          <w:highlight w:val="none"/>
        </w:rPr>
        <w:t>本公司及董事会全体成员保证信息披露内容的真实、准确和完整，没有虚假记载、误导性陈述或重大遗漏。</w:t>
      </w:r>
    </w:p>
    <w:p>
      <w:pPr>
        <w:keepNext w:val="0"/>
        <w:keepLines w:val="0"/>
        <w:pageBreakBefore w:val="0"/>
        <w:widowControl/>
        <w:kinsoku/>
        <w:wordWrap/>
        <w:overflowPunct/>
        <w:topLinePunct w:val="0"/>
        <w:autoSpaceDE/>
        <w:autoSpaceDN/>
        <w:bidi w:val="0"/>
        <w:adjustRightInd/>
        <w:snapToGrid/>
        <w:spacing w:before="156" w:beforeLines="50" w:line="420" w:lineRule="exact"/>
        <w:ind w:firstLine="480" w:firstLineChars="200"/>
        <w:textAlignment w:val="auto"/>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rPr>
        <w:t>德华兔宝宝装饰新材股份有限公司（以下简称“公司”）</w:t>
      </w:r>
      <w:r>
        <w:rPr>
          <w:rFonts w:hint="eastAsia" w:ascii="宋体" w:hAnsi="宋体" w:cs="宋体"/>
          <w:color w:val="000000"/>
          <w:kern w:val="0"/>
          <w:sz w:val="24"/>
          <w:szCs w:val="24"/>
          <w:highlight w:val="none"/>
          <w:lang w:val="en-US" w:eastAsia="zh-CN"/>
        </w:rPr>
        <w:t>第二期员工持股计划规定的第二个锁定期将于2024年4月25日届满，根据中国证监会《关于上市公司实施员工持股计划试点的指导意见》以及《深圳证券交易所上市公司自律监管指引第1号——主板上市公司规范运作》等相关规定，现将本期员工持股计划第二个锁定期届满及其解锁情况公告如下：</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default" w:ascii="宋体" w:hAnsi="宋体" w:eastAsia="宋体" w:cs="宋体"/>
          <w:b/>
          <w:bCs/>
          <w:color w:val="000000"/>
          <w:kern w:val="0"/>
          <w:sz w:val="24"/>
          <w:szCs w:val="24"/>
          <w:highlight w:val="none"/>
          <w:lang w:val="en-US" w:eastAsia="zh-CN"/>
        </w:rPr>
      </w:pPr>
      <w:r>
        <w:rPr>
          <w:rFonts w:hint="eastAsia" w:ascii="宋体" w:hAnsi="宋体" w:cs="宋体"/>
          <w:b/>
          <w:bCs/>
          <w:color w:val="000000"/>
          <w:kern w:val="0"/>
          <w:sz w:val="24"/>
          <w:szCs w:val="24"/>
          <w:highlight w:val="none"/>
          <w:lang w:val="en-US" w:eastAsia="zh-CN"/>
        </w:rPr>
        <w:t>一、本员工持股计划概况</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1、公司分别于2021年11月22日召开了第七届董事会第十二次会议、第七届监事会第九次会议，于2021年12月9日召开2021年第三次临时股东大会，审议通过了《关于&lt;兔宝宝第二期员工持股计划（草案）&gt;及摘要的议案》及员工持股计划相关议案，同意实施第二期员工持股计划，股票来源为公司回购专用账户中的兔宝宝 A 股普通股股票</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2、2022年1月10日，公司收到中国证券登记结算有限责任公司深圳分公司出具的《证券过户登记确认书》，公司开立的“德华兔宝宝装饰新材股份有限公司回购专用证券账户”中所持有的回购股票已于2022年1月10日非交易过户至“德华兔宝宝装饰新材股份有限公司－第二期员工持股计划”专户，过户股数为11,170,000股，占公司总股本的1.50%。</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3、公司分别于2022年10月25日召开第七届董事会第十七次会议、第七届监事会第十三次会议，于2022年11月10日召开2022年第一次临时股东大会，审议通过了《关于调整第二期员工持股计划及2021年限制性股票激励计划公司业绩考核指标的议案》，为了充分调动公司董事、高级管理人员、核心技术（业务）人员及其他管理骨干的积极性，结合当前实际情况，公司拟对第二期员工持股计划及2021年限制性股票激励计划中设定的公司业绩考核指标进行调整。</w:t>
      </w: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auto"/>
        <w:rPr>
          <w:rFonts w:hint="default" w:ascii="宋体" w:hAnsi="宋体" w:cs="宋体"/>
          <w:b/>
          <w:bCs/>
          <w:color w:val="000000"/>
          <w:kern w:val="0"/>
          <w:sz w:val="24"/>
          <w:szCs w:val="24"/>
          <w:highlight w:val="none"/>
          <w:lang w:val="en-US" w:eastAsia="zh-CN"/>
        </w:rPr>
      </w:pPr>
      <w:r>
        <w:rPr>
          <w:rFonts w:hint="eastAsia" w:ascii="宋体" w:hAnsi="宋体" w:cs="宋体"/>
          <w:b/>
          <w:bCs/>
          <w:color w:val="000000"/>
          <w:kern w:val="0"/>
          <w:sz w:val="24"/>
          <w:szCs w:val="24"/>
          <w:highlight w:val="none"/>
          <w:lang w:val="en-US" w:eastAsia="zh-CN"/>
        </w:rPr>
        <w:t>二、公司第二期员工持股计划第二个解锁期业绩情况及后续安排</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000000"/>
          <w:kern w:val="0"/>
          <w:sz w:val="24"/>
          <w:szCs w:val="24"/>
          <w:highlight w:val="none"/>
          <w:lang w:val="en-US" w:eastAsia="zh-CN"/>
        </w:rPr>
      </w:pPr>
      <w:r>
        <w:rPr>
          <w:rFonts w:hint="default" w:ascii="宋体" w:hAnsi="宋体" w:eastAsia="宋体" w:cs="宋体"/>
          <w:color w:val="000000"/>
          <w:kern w:val="0"/>
          <w:sz w:val="24"/>
          <w:szCs w:val="24"/>
          <w:highlight w:val="none"/>
          <w:lang w:val="en-US" w:eastAsia="zh-CN"/>
        </w:rPr>
        <w:t>根据《</w:t>
      </w:r>
      <w:r>
        <w:rPr>
          <w:rFonts w:hint="eastAsia" w:ascii="宋体" w:hAnsi="宋体" w:cs="宋体"/>
          <w:color w:val="000000"/>
          <w:kern w:val="0"/>
          <w:sz w:val="24"/>
          <w:szCs w:val="24"/>
          <w:highlight w:val="none"/>
          <w:lang w:val="en-US" w:eastAsia="zh-CN"/>
        </w:rPr>
        <w:t>德华兔宝宝装饰新材</w:t>
      </w:r>
      <w:r>
        <w:rPr>
          <w:rFonts w:hint="default" w:ascii="宋体" w:hAnsi="宋体" w:eastAsia="宋体" w:cs="宋体"/>
          <w:color w:val="000000"/>
          <w:kern w:val="0"/>
          <w:sz w:val="24"/>
          <w:szCs w:val="24"/>
          <w:highlight w:val="none"/>
          <w:lang w:val="en-US" w:eastAsia="zh-CN"/>
        </w:rPr>
        <w:t>股份有限公司第</w:t>
      </w:r>
      <w:r>
        <w:rPr>
          <w:rFonts w:hint="eastAsia" w:ascii="宋体" w:hAnsi="宋体" w:cs="宋体"/>
          <w:color w:val="000000"/>
          <w:kern w:val="0"/>
          <w:sz w:val="24"/>
          <w:szCs w:val="24"/>
          <w:highlight w:val="none"/>
          <w:lang w:val="en-US" w:eastAsia="zh-CN"/>
        </w:rPr>
        <w:t>二</w:t>
      </w:r>
      <w:r>
        <w:rPr>
          <w:rFonts w:hint="default" w:ascii="宋体" w:hAnsi="宋体" w:eastAsia="宋体" w:cs="宋体"/>
          <w:color w:val="000000"/>
          <w:kern w:val="0"/>
          <w:sz w:val="24"/>
          <w:szCs w:val="24"/>
          <w:highlight w:val="none"/>
          <w:lang w:val="en-US" w:eastAsia="zh-CN"/>
        </w:rPr>
        <w:t>期员工持股计划（草案</w:t>
      </w:r>
      <w:r>
        <w:rPr>
          <w:rFonts w:hint="eastAsia" w:ascii="宋体" w:hAnsi="宋体" w:cs="宋体"/>
          <w:color w:val="000000"/>
          <w:kern w:val="0"/>
          <w:sz w:val="24"/>
          <w:szCs w:val="24"/>
          <w:highlight w:val="none"/>
          <w:lang w:val="en-US" w:eastAsia="zh-CN"/>
        </w:rPr>
        <w:t>修订稿</w:t>
      </w:r>
      <w:r>
        <w:rPr>
          <w:rFonts w:hint="default" w:ascii="宋体" w:hAnsi="宋体" w:eastAsia="宋体" w:cs="宋体"/>
          <w:color w:val="000000"/>
          <w:kern w:val="0"/>
          <w:sz w:val="24"/>
          <w:szCs w:val="24"/>
          <w:highlight w:val="none"/>
          <w:lang w:val="en-US" w:eastAsia="zh-CN"/>
        </w:rPr>
        <w:t>）》和《</w:t>
      </w:r>
      <w:r>
        <w:rPr>
          <w:rFonts w:hint="eastAsia" w:ascii="宋体" w:hAnsi="宋体" w:cs="宋体"/>
          <w:color w:val="000000"/>
          <w:kern w:val="0"/>
          <w:sz w:val="24"/>
          <w:szCs w:val="24"/>
          <w:highlight w:val="none"/>
          <w:lang w:val="en-US" w:eastAsia="zh-CN"/>
        </w:rPr>
        <w:t>德华兔宝宝装饰新材</w:t>
      </w:r>
      <w:r>
        <w:rPr>
          <w:rFonts w:hint="default" w:ascii="宋体" w:hAnsi="宋体" w:eastAsia="宋体" w:cs="宋体"/>
          <w:color w:val="000000"/>
          <w:kern w:val="0"/>
          <w:sz w:val="24"/>
          <w:szCs w:val="24"/>
          <w:highlight w:val="none"/>
          <w:lang w:val="en-US" w:eastAsia="zh-CN"/>
        </w:rPr>
        <w:t>股份有限公司第</w:t>
      </w:r>
      <w:r>
        <w:rPr>
          <w:rFonts w:hint="eastAsia" w:ascii="宋体" w:hAnsi="宋体" w:cs="宋体"/>
          <w:color w:val="000000"/>
          <w:kern w:val="0"/>
          <w:sz w:val="24"/>
          <w:szCs w:val="24"/>
          <w:highlight w:val="none"/>
          <w:lang w:val="en-US" w:eastAsia="zh-CN"/>
        </w:rPr>
        <w:t>二</w:t>
      </w:r>
      <w:r>
        <w:rPr>
          <w:rFonts w:hint="default" w:ascii="宋体" w:hAnsi="宋体" w:eastAsia="宋体" w:cs="宋体"/>
          <w:color w:val="000000"/>
          <w:kern w:val="0"/>
          <w:sz w:val="24"/>
          <w:szCs w:val="24"/>
          <w:highlight w:val="none"/>
          <w:lang w:val="en-US" w:eastAsia="zh-CN"/>
        </w:rPr>
        <w:t>期员工持股计划管理办法</w:t>
      </w:r>
      <w:r>
        <w:rPr>
          <w:rFonts w:hint="eastAsia" w:ascii="宋体" w:hAnsi="宋体" w:cs="宋体"/>
          <w:color w:val="000000"/>
          <w:kern w:val="0"/>
          <w:sz w:val="24"/>
          <w:szCs w:val="24"/>
          <w:highlight w:val="none"/>
          <w:lang w:val="en-US" w:eastAsia="zh-CN"/>
        </w:rPr>
        <w:t>（修订稿）</w:t>
      </w:r>
      <w:r>
        <w:rPr>
          <w:rFonts w:hint="default" w:ascii="宋体" w:hAnsi="宋体" w:eastAsia="宋体" w:cs="宋体"/>
          <w:color w:val="000000"/>
          <w:kern w:val="0"/>
          <w:sz w:val="24"/>
          <w:szCs w:val="24"/>
          <w:highlight w:val="none"/>
          <w:lang w:val="en-US" w:eastAsia="zh-CN"/>
        </w:rPr>
        <w:t>》的相关规定</w:t>
      </w:r>
      <w:r>
        <w:rPr>
          <w:rFonts w:hint="eastAsia" w:ascii="宋体" w:hAnsi="宋体" w:cs="宋体"/>
          <w:color w:val="000000"/>
          <w:kern w:val="0"/>
          <w:sz w:val="24"/>
          <w:szCs w:val="24"/>
          <w:highlight w:val="none"/>
          <w:lang w:val="en-US" w:eastAsia="zh-CN"/>
        </w:rPr>
        <w:t>，本期员工持股计划存续期 60个月，自标的股票过户至本员工持股计划名下之日起计算。本期员工持股计划所获标的股票分三期解锁，各年度具体解锁比例和数量依据上一年度公司业绩目标及持有人绩效考核结果计算确定。</w:t>
      </w:r>
      <w:r>
        <w:rPr>
          <w:rFonts w:hint="default" w:ascii="宋体" w:hAnsi="宋体" w:eastAsia="宋体" w:cs="宋体"/>
          <w:color w:val="000000"/>
          <w:kern w:val="0"/>
          <w:sz w:val="24"/>
          <w:szCs w:val="24"/>
          <w:highlight w:val="none"/>
          <w:lang w:val="en-US" w:eastAsia="zh-CN"/>
        </w:rPr>
        <w:t>具体如下：</w:t>
      </w:r>
    </w:p>
    <w:p>
      <w:pPr>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公司层面业绩考核</w:t>
      </w:r>
      <w:r>
        <w:rPr>
          <w:rFonts w:hint="eastAsia" w:ascii="宋体" w:hAnsi="宋体" w:cs="宋体"/>
          <w:color w:val="000000"/>
          <w:kern w:val="0"/>
          <w:sz w:val="24"/>
          <w:szCs w:val="24"/>
          <w:highlight w:val="none"/>
        </w:rPr>
        <w:br w:type="textWrapping"/>
      </w:r>
      <w:r>
        <w:rPr>
          <w:rFonts w:hint="eastAsia" w:ascii="宋体" w:hAnsi="宋体" w:cs="宋体"/>
          <w:color w:val="000000"/>
          <w:kern w:val="0"/>
          <w:sz w:val="24"/>
          <w:szCs w:val="24"/>
          <w:highlight w:val="none"/>
          <w:lang w:val="en-US" w:eastAsia="zh-CN"/>
        </w:rPr>
        <w:t xml:space="preserve">    </w:t>
      </w:r>
      <w:r>
        <w:rPr>
          <w:rFonts w:hint="eastAsia" w:ascii="宋体" w:hAnsi="宋体" w:cs="宋体"/>
          <w:color w:val="000000"/>
          <w:kern w:val="0"/>
          <w:sz w:val="24"/>
          <w:szCs w:val="24"/>
          <w:highlight w:val="none"/>
        </w:rPr>
        <w:t>2023年本</w:t>
      </w:r>
      <w:r>
        <w:rPr>
          <w:rFonts w:hint="eastAsia" w:ascii="宋体" w:hAnsi="宋体" w:cs="宋体"/>
          <w:color w:val="000000"/>
          <w:kern w:val="0"/>
          <w:sz w:val="24"/>
          <w:szCs w:val="24"/>
          <w:highlight w:val="none"/>
          <w:lang w:val="en-US" w:eastAsia="zh-CN"/>
        </w:rPr>
        <w:t>员工持股计划</w:t>
      </w:r>
      <w:r>
        <w:rPr>
          <w:rFonts w:hint="eastAsia" w:ascii="宋体" w:hAnsi="宋体" w:cs="宋体"/>
          <w:color w:val="000000"/>
          <w:kern w:val="0"/>
          <w:sz w:val="24"/>
          <w:szCs w:val="24"/>
          <w:highlight w:val="none"/>
        </w:rPr>
        <w:t>业绩考核目标：以公司2021 年扣非净利润（剔除股权激励费用及员工持股计划费用等影响）为基数，2023 年净利润（调整后）增长率不低于35%。</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公司将根据各考核年度业绩的实际完成情况（实际完成情况R=各考核年度公司实际完成值/考核年度公司业绩目标值×100%），依据下表确定的所有</w:t>
      </w:r>
      <w:r>
        <w:rPr>
          <w:rFonts w:hint="eastAsia" w:ascii="宋体" w:hAnsi="宋体" w:cs="宋体"/>
          <w:color w:val="000000"/>
          <w:kern w:val="0"/>
          <w:sz w:val="24"/>
          <w:szCs w:val="24"/>
          <w:highlight w:val="none"/>
          <w:lang w:val="en-US" w:eastAsia="zh-CN"/>
        </w:rPr>
        <w:t>持有人</w:t>
      </w:r>
      <w:r>
        <w:rPr>
          <w:rFonts w:hint="eastAsia" w:ascii="宋体" w:hAnsi="宋体" w:eastAsia="宋体" w:cs="宋体"/>
          <w:color w:val="000000"/>
          <w:kern w:val="0"/>
          <w:sz w:val="24"/>
          <w:szCs w:val="24"/>
          <w:highlight w:val="none"/>
          <w:lang w:val="en-US" w:eastAsia="zh-CN"/>
        </w:rPr>
        <w:t>标准比例系数计算确认当年计划</w:t>
      </w:r>
      <w:r>
        <w:rPr>
          <w:rFonts w:hint="eastAsia" w:ascii="宋体" w:hAnsi="宋体" w:cs="宋体"/>
          <w:color w:val="000000"/>
          <w:kern w:val="0"/>
          <w:sz w:val="24"/>
          <w:szCs w:val="24"/>
          <w:highlight w:val="none"/>
          <w:lang w:val="en-US" w:eastAsia="zh-CN"/>
        </w:rPr>
        <w:t>解锁</w:t>
      </w:r>
      <w:r>
        <w:rPr>
          <w:rFonts w:hint="eastAsia" w:ascii="宋体" w:hAnsi="宋体" w:eastAsia="宋体" w:cs="宋体"/>
          <w:color w:val="000000"/>
          <w:kern w:val="0"/>
          <w:sz w:val="24"/>
          <w:szCs w:val="24"/>
          <w:highlight w:val="none"/>
          <w:lang w:val="en-US" w:eastAsia="zh-CN"/>
        </w:rPr>
        <w:t>额度：</w:t>
      </w:r>
    </w:p>
    <w:tbl>
      <w:tblPr>
        <w:tblStyle w:val="9"/>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1232"/>
        <w:gridCol w:w="1592"/>
        <w:gridCol w:w="1409"/>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763"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实际完成情况</w:t>
            </w:r>
          </w:p>
        </w:tc>
        <w:tc>
          <w:tcPr>
            <w:tcW w:w="1232"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R≥100%</w:t>
            </w:r>
          </w:p>
        </w:tc>
        <w:tc>
          <w:tcPr>
            <w:tcW w:w="1592"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100%&gt;R ≥85%</w:t>
            </w:r>
          </w:p>
        </w:tc>
        <w:tc>
          <w:tcPr>
            <w:tcW w:w="1409"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85%&gt;R≥70%</w:t>
            </w:r>
          </w:p>
        </w:tc>
        <w:tc>
          <w:tcPr>
            <w:tcW w:w="1409"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70%&gt;R ≥60%</w:t>
            </w:r>
          </w:p>
        </w:tc>
        <w:tc>
          <w:tcPr>
            <w:tcW w:w="1409"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R&lt;60%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63"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标准比例系数</w:t>
            </w:r>
          </w:p>
        </w:tc>
        <w:tc>
          <w:tcPr>
            <w:tcW w:w="1232"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1.0</w:t>
            </w:r>
          </w:p>
        </w:tc>
        <w:tc>
          <w:tcPr>
            <w:tcW w:w="1592"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0.9</w:t>
            </w:r>
          </w:p>
        </w:tc>
        <w:tc>
          <w:tcPr>
            <w:tcW w:w="1409"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0.8</w:t>
            </w:r>
          </w:p>
        </w:tc>
        <w:tc>
          <w:tcPr>
            <w:tcW w:w="1409"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0.6</w:t>
            </w:r>
          </w:p>
        </w:tc>
        <w:tc>
          <w:tcPr>
            <w:tcW w:w="1409"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rPr>
        <w:t>经</w:t>
      </w:r>
      <w:bookmarkStart w:id="0" w:name="_GoBack"/>
      <w:bookmarkEnd w:id="0"/>
      <w:r>
        <w:rPr>
          <w:rFonts w:hint="eastAsia" w:ascii="宋体" w:hAnsi="宋体" w:cs="宋体"/>
          <w:color w:val="000000"/>
          <w:kern w:val="0"/>
          <w:sz w:val="24"/>
          <w:szCs w:val="24"/>
          <w:highlight w:val="none"/>
        </w:rPr>
        <w:t>天健会计师事务所（特殊普通合伙）审计，公司2023年度净利润（调整后）为614</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180</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863.01元，2021年扣非净利润（剔除员工持股计划费用及股权激励费用等影响）为625,147,530.14元，因2023年本</w:t>
      </w:r>
      <w:r>
        <w:rPr>
          <w:rFonts w:hint="eastAsia" w:ascii="宋体" w:hAnsi="宋体" w:cs="宋体"/>
          <w:color w:val="000000"/>
          <w:kern w:val="0"/>
          <w:sz w:val="24"/>
          <w:szCs w:val="24"/>
          <w:highlight w:val="none"/>
          <w:lang w:val="en-US" w:eastAsia="zh-CN"/>
        </w:rPr>
        <w:t>员工持股计划</w:t>
      </w:r>
      <w:r>
        <w:rPr>
          <w:rFonts w:hint="eastAsia" w:ascii="宋体" w:hAnsi="宋体" w:cs="宋体"/>
          <w:color w:val="000000"/>
          <w:kern w:val="0"/>
          <w:sz w:val="24"/>
          <w:szCs w:val="24"/>
          <w:highlight w:val="none"/>
        </w:rPr>
        <w:t>考核目标为增长率不低于35%，2023年度公司业绩目标值为843,949,165.69元。</w:t>
      </w:r>
      <w:r>
        <w:rPr>
          <w:rFonts w:hint="eastAsia" w:ascii="宋体" w:hAnsi="宋体" w:eastAsia="宋体" w:cs="宋体"/>
          <w:color w:val="000000"/>
          <w:kern w:val="0"/>
          <w:sz w:val="24"/>
          <w:szCs w:val="24"/>
          <w:highlight w:val="none"/>
        </w:rPr>
        <w:t>实际完成情况R=</w:t>
      </w:r>
      <w:r>
        <w:rPr>
          <w:rFonts w:hint="eastAsia" w:ascii="宋体" w:hAnsi="宋体" w:cs="宋体"/>
          <w:color w:val="000000"/>
          <w:kern w:val="0"/>
          <w:sz w:val="24"/>
          <w:szCs w:val="24"/>
          <w:highlight w:val="none"/>
        </w:rPr>
        <w:t>614</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180</w:t>
      </w:r>
      <w:r>
        <w:rPr>
          <w:rFonts w:hint="eastAsia"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rPr>
        <w:t>863.01</w:t>
      </w:r>
      <w:r>
        <w:rPr>
          <w:rFonts w:hint="eastAsia" w:ascii="宋体" w:hAnsi="宋体" w:eastAsia="宋体" w:cs="宋体"/>
          <w:color w:val="000000"/>
          <w:kern w:val="0"/>
          <w:sz w:val="24"/>
          <w:szCs w:val="24"/>
          <w:highlight w:val="none"/>
        </w:rPr>
        <w:t xml:space="preserve">元/843,949,165.69元×100%= </w:t>
      </w:r>
      <w:r>
        <w:rPr>
          <w:rFonts w:hint="eastAsia" w:ascii="宋体" w:hAnsi="宋体" w:cs="宋体"/>
          <w:color w:val="000000"/>
          <w:kern w:val="0"/>
          <w:sz w:val="24"/>
          <w:szCs w:val="24"/>
          <w:highlight w:val="none"/>
          <w:lang w:val="en-US" w:eastAsia="zh-CN"/>
        </w:rPr>
        <w:t>72.77</w:t>
      </w:r>
      <w:r>
        <w:rPr>
          <w:rFonts w:hint="eastAsia" w:ascii="宋体" w:hAnsi="宋体" w:eastAsia="宋体" w:cs="宋体"/>
          <w:color w:val="000000"/>
          <w:kern w:val="0"/>
          <w:sz w:val="24"/>
          <w:szCs w:val="24"/>
          <w:highlight w:val="none"/>
        </w:rPr>
        <w:t>%；满足第二个</w:t>
      </w:r>
      <w:r>
        <w:rPr>
          <w:rFonts w:hint="eastAsia" w:ascii="宋体" w:hAnsi="宋体" w:cs="宋体"/>
          <w:color w:val="000000"/>
          <w:kern w:val="0"/>
          <w:sz w:val="24"/>
          <w:szCs w:val="24"/>
          <w:highlight w:val="none"/>
          <w:lang w:val="en-US" w:eastAsia="zh-CN"/>
        </w:rPr>
        <w:t>锁定期</w:t>
      </w:r>
      <w:r>
        <w:rPr>
          <w:rFonts w:hint="eastAsia" w:ascii="宋体" w:hAnsi="宋体" w:eastAsia="宋体" w:cs="宋体"/>
          <w:color w:val="000000"/>
          <w:kern w:val="0"/>
          <w:sz w:val="24"/>
          <w:szCs w:val="24"/>
          <w:highlight w:val="none"/>
        </w:rPr>
        <w:t>公司层面</w:t>
      </w:r>
      <w:r>
        <w:rPr>
          <w:rFonts w:hint="eastAsia" w:ascii="宋体" w:hAnsi="宋体" w:cs="宋体"/>
          <w:color w:val="000000"/>
          <w:kern w:val="0"/>
          <w:sz w:val="24"/>
          <w:szCs w:val="24"/>
          <w:highlight w:val="none"/>
          <w:lang w:val="en-US" w:eastAsia="zh-CN"/>
        </w:rPr>
        <w:t>解锁</w:t>
      </w:r>
      <w:r>
        <w:rPr>
          <w:rFonts w:hint="eastAsia" w:ascii="宋体" w:hAnsi="宋体" w:eastAsia="宋体" w:cs="宋体"/>
          <w:color w:val="000000"/>
          <w:kern w:val="0"/>
          <w:sz w:val="24"/>
          <w:szCs w:val="24"/>
          <w:highlight w:val="none"/>
        </w:rPr>
        <w:t>标准比例系数0.8的条件。</w:t>
      </w:r>
    </w:p>
    <w:p>
      <w:pPr>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个人层面绩效考核</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本员工持股计划将根据公司绩效考核相关制度对个人进行绩效考核，考核结果划分如下：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616"/>
        <w:gridCol w:w="1817"/>
        <w:gridCol w:w="1515"/>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127" w:type="dxa"/>
          </w:tcPr>
          <w:p>
            <w:pPr>
              <w:rPr>
                <w:rFonts w:hint="eastAsia" w:ascii="宋体" w:hAnsi="宋体" w:cs="宋体"/>
                <w:sz w:val="24"/>
                <w:szCs w:val="24"/>
              </w:rPr>
            </w:pPr>
            <w:r>
              <w:rPr>
                <w:rFonts w:hint="eastAsia" w:ascii="宋体" w:hAnsi="宋体" w:cs="宋体"/>
                <w:sz w:val="24"/>
                <w:szCs w:val="24"/>
              </w:rPr>
              <w:t xml:space="preserve">考核结果等级分布考评结果（K） </w:t>
            </w:r>
          </w:p>
        </w:tc>
        <w:tc>
          <w:tcPr>
            <w:tcW w:w="1616" w:type="dxa"/>
            <w:vAlign w:val="center"/>
          </w:tcPr>
          <w:p>
            <w:pPr>
              <w:jc w:val="center"/>
              <w:rPr>
                <w:rFonts w:hint="eastAsia" w:ascii="宋体" w:hAnsi="宋体" w:cs="宋体"/>
                <w:sz w:val="24"/>
                <w:szCs w:val="24"/>
              </w:rPr>
            </w:pPr>
            <w:r>
              <w:rPr>
                <w:rFonts w:hint="eastAsia" w:ascii="宋体" w:hAnsi="宋体" w:cs="宋体"/>
                <w:sz w:val="24"/>
                <w:szCs w:val="24"/>
              </w:rPr>
              <w:t>K≥90</w:t>
            </w:r>
          </w:p>
        </w:tc>
        <w:tc>
          <w:tcPr>
            <w:tcW w:w="1817" w:type="dxa"/>
            <w:vAlign w:val="center"/>
          </w:tcPr>
          <w:p>
            <w:pPr>
              <w:jc w:val="center"/>
              <w:rPr>
                <w:rFonts w:hint="eastAsia" w:ascii="宋体" w:hAnsi="宋体" w:cs="宋体"/>
                <w:sz w:val="24"/>
                <w:szCs w:val="24"/>
              </w:rPr>
            </w:pPr>
            <w:r>
              <w:rPr>
                <w:rFonts w:hint="eastAsia" w:ascii="宋体" w:hAnsi="宋体" w:cs="宋体"/>
                <w:sz w:val="24"/>
                <w:szCs w:val="24"/>
              </w:rPr>
              <w:t>90＞K≥70</w:t>
            </w:r>
          </w:p>
        </w:tc>
        <w:tc>
          <w:tcPr>
            <w:tcW w:w="1515" w:type="dxa"/>
            <w:vAlign w:val="center"/>
          </w:tcPr>
          <w:p>
            <w:pPr>
              <w:jc w:val="center"/>
              <w:rPr>
                <w:rFonts w:hint="eastAsia" w:ascii="宋体" w:hAnsi="宋体" w:cs="宋体"/>
                <w:sz w:val="24"/>
                <w:szCs w:val="24"/>
              </w:rPr>
            </w:pPr>
            <w:r>
              <w:rPr>
                <w:rFonts w:hint="eastAsia" w:ascii="宋体" w:hAnsi="宋体" w:cs="宋体"/>
                <w:sz w:val="24"/>
                <w:szCs w:val="24"/>
              </w:rPr>
              <w:t>70＞K≥60</w:t>
            </w:r>
          </w:p>
        </w:tc>
        <w:tc>
          <w:tcPr>
            <w:tcW w:w="1642" w:type="dxa"/>
            <w:vAlign w:val="center"/>
          </w:tcPr>
          <w:p>
            <w:pPr>
              <w:jc w:val="center"/>
              <w:rPr>
                <w:rFonts w:hint="eastAsia" w:ascii="宋体" w:hAnsi="宋体" w:cs="宋体"/>
                <w:sz w:val="24"/>
                <w:szCs w:val="24"/>
              </w:rPr>
            </w:pPr>
            <w:r>
              <w:rPr>
                <w:rFonts w:hint="eastAsia" w:ascii="宋体" w:hAnsi="宋体" w:cs="宋体"/>
                <w:sz w:val="24"/>
                <w:szCs w:val="24"/>
              </w:rPr>
              <w:t>K＜60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27" w:type="dxa"/>
          </w:tcPr>
          <w:p>
            <w:pPr>
              <w:rPr>
                <w:rFonts w:hint="eastAsia" w:ascii="宋体" w:hAnsi="宋体" w:cs="宋体"/>
                <w:sz w:val="24"/>
                <w:szCs w:val="24"/>
              </w:rPr>
            </w:pPr>
            <w:r>
              <w:rPr>
                <w:rFonts w:hint="eastAsia" w:ascii="宋体" w:hAnsi="宋体" w:cs="宋体"/>
                <w:sz w:val="24"/>
                <w:szCs w:val="24"/>
              </w:rPr>
              <w:t xml:space="preserve">评价标准 </w:t>
            </w:r>
          </w:p>
        </w:tc>
        <w:tc>
          <w:tcPr>
            <w:tcW w:w="1616" w:type="dxa"/>
            <w:vAlign w:val="center"/>
          </w:tcPr>
          <w:p>
            <w:pPr>
              <w:jc w:val="center"/>
              <w:rPr>
                <w:rFonts w:hint="eastAsia" w:ascii="宋体" w:hAnsi="宋体" w:cs="宋体"/>
                <w:sz w:val="24"/>
                <w:szCs w:val="24"/>
              </w:rPr>
            </w:pPr>
            <w:r>
              <w:rPr>
                <w:rFonts w:hint="eastAsia" w:ascii="宋体" w:hAnsi="宋体" w:cs="宋体"/>
                <w:sz w:val="24"/>
                <w:szCs w:val="24"/>
              </w:rPr>
              <w:t>A</w:t>
            </w:r>
          </w:p>
        </w:tc>
        <w:tc>
          <w:tcPr>
            <w:tcW w:w="1817" w:type="dxa"/>
            <w:vAlign w:val="center"/>
          </w:tcPr>
          <w:p>
            <w:pPr>
              <w:jc w:val="center"/>
              <w:rPr>
                <w:rFonts w:hint="eastAsia" w:ascii="宋体" w:hAnsi="宋体" w:cs="宋体"/>
                <w:sz w:val="24"/>
                <w:szCs w:val="24"/>
              </w:rPr>
            </w:pPr>
            <w:r>
              <w:rPr>
                <w:rFonts w:hint="eastAsia" w:ascii="宋体" w:hAnsi="宋体" w:cs="宋体"/>
                <w:sz w:val="24"/>
                <w:szCs w:val="24"/>
              </w:rPr>
              <w:t>B</w:t>
            </w:r>
          </w:p>
        </w:tc>
        <w:tc>
          <w:tcPr>
            <w:tcW w:w="1515" w:type="dxa"/>
            <w:vAlign w:val="center"/>
          </w:tcPr>
          <w:p>
            <w:pPr>
              <w:jc w:val="center"/>
              <w:rPr>
                <w:rFonts w:hint="eastAsia" w:ascii="宋体" w:hAnsi="宋体" w:cs="宋体"/>
                <w:sz w:val="24"/>
                <w:szCs w:val="24"/>
              </w:rPr>
            </w:pPr>
            <w:r>
              <w:rPr>
                <w:rFonts w:hint="eastAsia" w:ascii="宋体" w:hAnsi="宋体" w:cs="宋体"/>
                <w:sz w:val="24"/>
                <w:szCs w:val="24"/>
              </w:rPr>
              <w:t>C</w:t>
            </w:r>
          </w:p>
        </w:tc>
        <w:tc>
          <w:tcPr>
            <w:tcW w:w="1642" w:type="dxa"/>
            <w:vAlign w:val="center"/>
          </w:tcPr>
          <w:p>
            <w:pPr>
              <w:jc w:val="center"/>
              <w:rPr>
                <w:rFonts w:hint="eastAsia" w:ascii="宋体" w:hAnsi="宋体" w:cs="宋体"/>
                <w:sz w:val="24"/>
                <w:szCs w:val="24"/>
              </w:rPr>
            </w:pPr>
            <w:r>
              <w:rPr>
                <w:rFonts w:hint="eastAsia" w:ascii="宋体" w:hAnsi="宋体" w:cs="宋体"/>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27" w:type="dxa"/>
          </w:tcPr>
          <w:p>
            <w:pPr>
              <w:rPr>
                <w:rFonts w:hint="eastAsia" w:ascii="宋体" w:hAnsi="宋体" w:cs="宋体"/>
                <w:sz w:val="24"/>
                <w:szCs w:val="24"/>
              </w:rPr>
            </w:pPr>
            <w:r>
              <w:rPr>
                <w:rFonts w:hint="eastAsia" w:ascii="宋体" w:hAnsi="宋体" w:cs="宋体"/>
                <w:sz w:val="24"/>
                <w:szCs w:val="24"/>
              </w:rPr>
              <w:t xml:space="preserve">标准系数 </w:t>
            </w:r>
          </w:p>
        </w:tc>
        <w:tc>
          <w:tcPr>
            <w:tcW w:w="1616" w:type="dxa"/>
            <w:vAlign w:val="center"/>
          </w:tcPr>
          <w:p>
            <w:pPr>
              <w:jc w:val="center"/>
              <w:rPr>
                <w:rFonts w:hint="eastAsia" w:ascii="宋体" w:hAnsi="宋体" w:cs="宋体"/>
                <w:sz w:val="24"/>
                <w:szCs w:val="24"/>
              </w:rPr>
            </w:pPr>
            <w:r>
              <w:rPr>
                <w:rFonts w:hint="eastAsia" w:ascii="宋体" w:hAnsi="宋体" w:cs="宋体"/>
                <w:sz w:val="24"/>
                <w:szCs w:val="24"/>
              </w:rPr>
              <w:t>1.0</w:t>
            </w:r>
          </w:p>
        </w:tc>
        <w:tc>
          <w:tcPr>
            <w:tcW w:w="1817" w:type="dxa"/>
            <w:vAlign w:val="center"/>
          </w:tcPr>
          <w:p>
            <w:pPr>
              <w:jc w:val="center"/>
              <w:rPr>
                <w:rFonts w:hint="eastAsia" w:ascii="宋体" w:hAnsi="宋体" w:cs="宋体"/>
                <w:sz w:val="24"/>
                <w:szCs w:val="24"/>
              </w:rPr>
            </w:pPr>
            <w:r>
              <w:rPr>
                <w:rFonts w:hint="eastAsia" w:ascii="宋体" w:hAnsi="宋体" w:cs="宋体"/>
                <w:sz w:val="24"/>
                <w:szCs w:val="24"/>
              </w:rPr>
              <w:t>K/100</w:t>
            </w:r>
          </w:p>
        </w:tc>
        <w:tc>
          <w:tcPr>
            <w:tcW w:w="1515" w:type="dxa"/>
            <w:vAlign w:val="center"/>
          </w:tcPr>
          <w:p>
            <w:pPr>
              <w:jc w:val="center"/>
              <w:rPr>
                <w:rFonts w:hint="eastAsia" w:ascii="宋体" w:hAnsi="宋体" w:cs="宋体"/>
                <w:sz w:val="24"/>
                <w:szCs w:val="24"/>
              </w:rPr>
            </w:pPr>
            <w:r>
              <w:rPr>
                <w:rFonts w:hint="eastAsia" w:ascii="宋体" w:hAnsi="宋体" w:cs="宋体"/>
                <w:sz w:val="24"/>
                <w:szCs w:val="24"/>
              </w:rPr>
              <w:t>K/100</w:t>
            </w:r>
          </w:p>
        </w:tc>
        <w:tc>
          <w:tcPr>
            <w:tcW w:w="1642" w:type="dxa"/>
            <w:vAlign w:val="center"/>
          </w:tcPr>
          <w:p>
            <w:pPr>
              <w:jc w:val="center"/>
              <w:rPr>
                <w:rFonts w:hint="eastAsia" w:ascii="宋体" w:hAnsi="宋体" w:cs="宋体"/>
                <w:sz w:val="24"/>
                <w:szCs w:val="24"/>
              </w:rPr>
            </w:pPr>
            <w:r>
              <w:rPr>
                <w:rFonts w:hint="eastAsia" w:ascii="宋体" w:hAnsi="宋体" w:cs="宋体"/>
                <w:sz w:val="24"/>
                <w:szCs w:val="24"/>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公司2023年度个人绩效结果情况如下：本持股计划的目前实际持有人数为74人，2023年考核结果均为C等及以上且无连续两年考核为C的情况，个人层面符合解锁条件，可按照标准系数解禁。</w:t>
      </w:r>
    </w:p>
    <w:p>
      <w:pPr>
        <w:keepNext w:val="0"/>
        <w:keepLines w:val="0"/>
        <w:pageBreakBefore w:val="0"/>
        <w:widowControl/>
        <w:numPr>
          <w:ilvl w:val="0"/>
          <w:numId w:val="1"/>
        </w:numPr>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后续安排</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截至本公告披露日，本持股计划第二个锁定期届满，解锁股份数量为2,680,800股，占本持股计划的24%，占公司总股本的0.32%。</w:t>
      </w:r>
      <w:r>
        <w:rPr>
          <w:rFonts w:hint="eastAsia" w:ascii="宋体" w:hAnsi="宋体" w:cs="宋体"/>
          <w:color w:val="000000"/>
          <w:kern w:val="0"/>
          <w:sz w:val="24"/>
          <w:szCs w:val="24"/>
          <w:highlight w:val="none"/>
        </w:rPr>
        <w:t>本期持股计划管理委员会将根据</w:t>
      </w:r>
      <w:r>
        <w:rPr>
          <w:rFonts w:hint="eastAsia" w:ascii="宋体" w:hAnsi="宋体" w:cs="宋体"/>
          <w:color w:val="000000"/>
          <w:kern w:val="0"/>
          <w:sz w:val="24"/>
          <w:szCs w:val="24"/>
          <w:highlight w:val="none"/>
          <w:lang w:val="en-US" w:eastAsia="zh-CN"/>
        </w:rPr>
        <w:t>持有人会议的授权，在存续期内根据</w:t>
      </w:r>
      <w:r>
        <w:rPr>
          <w:rFonts w:hint="eastAsia" w:ascii="宋体" w:hAnsi="宋体" w:cs="宋体"/>
          <w:color w:val="000000"/>
          <w:kern w:val="0"/>
          <w:sz w:val="24"/>
          <w:szCs w:val="24"/>
          <w:highlight w:val="none"/>
        </w:rPr>
        <w:t>市场情况择机进行处置。</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本期持股计划将严格遵守市场交易规则，遵守中国证券监督管理委员会、深圳证券交易所关于股票买卖相关规定，在下列期间不得买卖公司股票：</w:t>
      </w:r>
    </w:p>
    <w:p>
      <w:pPr>
        <w:keepNext w:val="0"/>
        <w:keepLines w:val="0"/>
        <w:pageBreakBefore w:val="0"/>
        <w:widowControl/>
        <w:numPr>
          <w:ilvl w:val="0"/>
          <w:numId w:val="2"/>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公司年度报告、半年度报告公告前三十日内，因特殊原因推迟公告日期的，自原预约公告日前三十日起算；</w:t>
      </w:r>
    </w:p>
    <w:p>
      <w:pPr>
        <w:keepNext w:val="0"/>
        <w:keepLines w:val="0"/>
        <w:pageBreakBefore w:val="0"/>
        <w:widowControl/>
        <w:numPr>
          <w:ilvl w:val="0"/>
          <w:numId w:val="2"/>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公司季度报告、业绩预告、业绩快报公告前十日内；</w:t>
      </w:r>
    </w:p>
    <w:p>
      <w:pPr>
        <w:keepNext w:val="0"/>
        <w:keepLines w:val="0"/>
        <w:pageBreakBefore w:val="0"/>
        <w:widowControl/>
        <w:numPr>
          <w:ilvl w:val="0"/>
          <w:numId w:val="2"/>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自可能对本公司股票及其衍生品种交易价格产生较大影响的重大事件发生之日或者进入决策程序之日至依法披露之日；</w:t>
      </w:r>
    </w:p>
    <w:p>
      <w:pPr>
        <w:keepNext w:val="0"/>
        <w:keepLines w:val="0"/>
        <w:pageBreakBefore w:val="0"/>
        <w:widowControl/>
        <w:numPr>
          <w:ilvl w:val="0"/>
          <w:numId w:val="2"/>
        </w:numPr>
        <w:kinsoku/>
        <w:wordWrap/>
        <w:overflowPunct/>
        <w:topLinePunct w:val="0"/>
        <w:autoSpaceDE/>
        <w:autoSpaceDN/>
        <w:bidi w:val="0"/>
        <w:adjustRightInd/>
        <w:snapToGrid/>
        <w:spacing w:line="420" w:lineRule="exact"/>
        <w:ind w:leftChars="0"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中国证监会及深交所规定的其他期间。</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2" w:firstLineChars="200"/>
        <w:textAlignment w:val="auto"/>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lang w:val="en-US" w:eastAsia="zh-CN"/>
        </w:rPr>
        <w:t>三、</w:t>
      </w:r>
      <w:r>
        <w:rPr>
          <w:rFonts w:hint="eastAsia" w:ascii="宋体" w:hAnsi="宋体" w:cs="宋体"/>
          <w:b/>
          <w:bCs/>
          <w:color w:val="000000"/>
          <w:kern w:val="0"/>
          <w:sz w:val="24"/>
          <w:szCs w:val="24"/>
          <w:highlight w:val="none"/>
        </w:rPr>
        <w:t>其他说明</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公司将持续关注本期持股计划的实施进展情况，并严格按照相关法律法规的规定，及时履行信息披露义务。</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000000"/>
          <w:kern w:val="0"/>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br w:type="textWrapping"/>
      </w:r>
      <w:r>
        <w:rPr>
          <w:rFonts w:hint="eastAsia" w:ascii="宋体" w:hAnsi="宋体" w:cs="宋体"/>
          <w:color w:val="000000"/>
          <w:kern w:val="0"/>
          <w:sz w:val="24"/>
          <w:szCs w:val="24"/>
          <w:highlight w:val="none"/>
        </w:rPr>
        <w:t xml:space="preserve">                                      德华兔宝宝装饰新材股份有限公司</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color w:val="000000"/>
          <w:sz w:val="24"/>
          <w:szCs w:val="24"/>
          <w:highlight w:val="none"/>
        </w:rPr>
      </w:pPr>
      <w:r>
        <w:rPr>
          <w:rFonts w:hint="eastAsia" w:ascii="宋体" w:hAnsi="宋体" w:cs="宋体"/>
          <w:color w:val="000000"/>
          <w:kern w:val="0"/>
          <w:sz w:val="24"/>
          <w:szCs w:val="24"/>
          <w:highlight w:val="none"/>
        </w:rPr>
        <w:t xml:space="preserve">                                            董  事  会 </w:t>
      </w:r>
      <w:r>
        <w:rPr>
          <w:rFonts w:hint="eastAsia" w:ascii="宋体" w:hAnsi="宋体" w:cs="宋体"/>
          <w:color w:val="000000"/>
          <w:kern w:val="0"/>
          <w:sz w:val="24"/>
          <w:szCs w:val="24"/>
          <w:highlight w:val="none"/>
        </w:rPr>
        <w:br w:type="textWrapping"/>
      </w:r>
      <w:r>
        <w:rPr>
          <w:rFonts w:hint="eastAsia" w:ascii="宋体" w:hAnsi="宋体" w:cs="宋体"/>
          <w:color w:val="000000"/>
          <w:kern w:val="0"/>
          <w:sz w:val="24"/>
          <w:szCs w:val="24"/>
          <w:highlight w:val="none"/>
        </w:rPr>
        <w:t xml:space="preserve">                                              </w:t>
      </w:r>
      <w:r>
        <w:rPr>
          <w:rFonts w:hint="eastAsia" w:ascii="宋体" w:hAnsi="宋体" w:cs="宋体"/>
          <w:color w:val="000000"/>
          <w:kern w:val="0"/>
          <w:sz w:val="24"/>
          <w:szCs w:val="24"/>
          <w:highlight w:val="none"/>
          <w:lang w:val="en-US" w:eastAsia="zh-CN"/>
        </w:rPr>
        <w:t>2024</w:t>
      </w:r>
      <w:r>
        <w:rPr>
          <w:rFonts w:hint="eastAsia" w:ascii="宋体" w:hAnsi="宋体" w:cs="宋体"/>
          <w:color w:val="000000"/>
          <w:kern w:val="0"/>
          <w:sz w:val="24"/>
          <w:szCs w:val="24"/>
          <w:highlight w:val="none"/>
        </w:rPr>
        <w:t>年4月</w:t>
      </w:r>
      <w:r>
        <w:rPr>
          <w:rFonts w:hint="eastAsia" w:ascii="宋体" w:hAnsi="宋体" w:cs="宋体"/>
          <w:color w:val="000000"/>
          <w:kern w:val="0"/>
          <w:sz w:val="24"/>
          <w:szCs w:val="24"/>
          <w:highlight w:val="none"/>
          <w:lang w:val="en-US" w:eastAsia="zh-CN"/>
        </w:rPr>
        <w:t>25</w:t>
      </w:r>
      <w:r>
        <w:rPr>
          <w:rFonts w:hint="eastAsia" w:ascii="宋体" w:hAnsi="宋体" w:cs="宋体"/>
          <w:color w:val="000000"/>
          <w:kern w:val="0"/>
          <w:sz w:val="24"/>
          <w:szCs w:val="24"/>
          <w:highlight w:val="none"/>
        </w:rPr>
        <w:t>日</w:t>
      </w:r>
    </w:p>
    <w:p>
      <w:pPr>
        <w:rPr>
          <w:highlight w:val="none"/>
        </w:rPr>
      </w:pPr>
    </w:p>
    <w:sectPr>
      <w:pgSz w:w="11906" w:h="16838"/>
      <w:pgMar w:top="1418"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D7D62"/>
    <w:multiLevelType w:val="singleLevel"/>
    <w:tmpl w:val="BA5D7D62"/>
    <w:lvl w:ilvl="0" w:tentative="0">
      <w:start w:val="1"/>
      <w:numFmt w:val="decimal"/>
      <w:suff w:val="nothing"/>
      <w:lvlText w:val="%1、"/>
      <w:lvlJc w:val="left"/>
      <w:pPr>
        <w:ind w:left="600" w:leftChars="0" w:firstLine="0" w:firstLineChars="0"/>
      </w:pPr>
    </w:lvl>
  </w:abstractNum>
  <w:abstractNum w:abstractNumId="1">
    <w:nsid w:val="059CCF52"/>
    <w:multiLevelType w:val="singleLevel"/>
    <w:tmpl w:val="059CCF5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25EA2B60"/>
    <w:rsid w:val="00234EC7"/>
    <w:rsid w:val="00241ACE"/>
    <w:rsid w:val="00645771"/>
    <w:rsid w:val="007A0318"/>
    <w:rsid w:val="007A723E"/>
    <w:rsid w:val="00836FEC"/>
    <w:rsid w:val="00976745"/>
    <w:rsid w:val="00A67C87"/>
    <w:rsid w:val="00F46612"/>
    <w:rsid w:val="00FF06C6"/>
    <w:rsid w:val="044F302A"/>
    <w:rsid w:val="047D282B"/>
    <w:rsid w:val="05000E62"/>
    <w:rsid w:val="05D05BD7"/>
    <w:rsid w:val="08E71C78"/>
    <w:rsid w:val="0A59624D"/>
    <w:rsid w:val="0D3929AF"/>
    <w:rsid w:val="0D4E100B"/>
    <w:rsid w:val="0E511C4A"/>
    <w:rsid w:val="0F6842CC"/>
    <w:rsid w:val="0FBE666E"/>
    <w:rsid w:val="14EE06E6"/>
    <w:rsid w:val="155B0D1A"/>
    <w:rsid w:val="181E3952"/>
    <w:rsid w:val="1A382E49"/>
    <w:rsid w:val="1BA06FF0"/>
    <w:rsid w:val="1CF50566"/>
    <w:rsid w:val="1D1E41AC"/>
    <w:rsid w:val="1F5A123D"/>
    <w:rsid w:val="1F8457D6"/>
    <w:rsid w:val="1FA80CFB"/>
    <w:rsid w:val="20820118"/>
    <w:rsid w:val="21373517"/>
    <w:rsid w:val="22745632"/>
    <w:rsid w:val="23977D33"/>
    <w:rsid w:val="243E1982"/>
    <w:rsid w:val="25EA2B60"/>
    <w:rsid w:val="27995970"/>
    <w:rsid w:val="2B5941FA"/>
    <w:rsid w:val="2BC66A06"/>
    <w:rsid w:val="2C254BFB"/>
    <w:rsid w:val="2DA11FE9"/>
    <w:rsid w:val="2F227F5C"/>
    <w:rsid w:val="2FB47274"/>
    <w:rsid w:val="30260648"/>
    <w:rsid w:val="304852D5"/>
    <w:rsid w:val="315F400E"/>
    <w:rsid w:val="31FC37FD"/>
    <w:rsid w:val="33770BBD"/>
    <w:rsid w:val="33994904"/>
    <w:rsid w:val="33A27C50"/>
    <w:rsid w:val="34561706"/>
    <w:rsid w:val="34CC2B8D"/>
    <w:rsid w:val="37101C6F"/>
    <w:rsid w:val="37FE04C1"/>
    <w:rsid w:val="39106873"/>
    <w:rsid w:val="39F659AA"/>
    <w:rsid w:val="3A7B3343"/>
    <w:rsid w:val="3AF53176"/>
    <w:rsid w:val="3C767A36"/>
    <w:rsid w:val="3CB0510B"/>
    <w:rsid w:val="3D6A7117"/>
    <w:rsid w:val="3DA212CB"/>
    <w:rsid w:val="3DEB1C3B"/>
    <w:rsid w:val="3DFFCA24"/>
    <w:rsid w:val="3E040F4F"/>
    <w:rsid w:val="3F9051D5"/>
    <w:rsid w:val="40815574"/>
    <w:rsid w:val="42EA3E7A"/>
    <w:rsid w:val="44A01273"/>
    <w:rsid w:val="44B53A6F"/>
    <w:rsid w:val="44BF77D2"/>
    <w:rsid w:val="458F8292"/>
    <w:rsid w:val="45BD0E63"/>
    <w:rsid w:val="468724D4"/>
    <w:rsid w:val="46B83D2F"/>
    <w:rsid w:val="48480CC1"/>
    <w:rsid w:val="48EE7ECA"/>
    <w:rsid w:val="490621FF"/>
    <w:rsid w:val="4ABB6DA1"/>
    <w:rsid w:val="4F8773D4"/>
    <w:rsid w:val="4FE82709"/>
    <w:rsid w:val="50CF082E"/>
    <w:rsid w:val="51A26F87"/>
    <w:rsid w:val="51DC01A1"/>
    <w:rsid w:val="51FC0A11"/>
    <w:rsid w:val="55214977"/>
    <w:rsid w:val="55EA0986"/>
    <w:rsid w:val="561C3E41"/>
    <w:rsid w:val="56F12077"/>
    <w:rsid w:val="579E14A5"/>
    <w:rsid w:val="5808509A"/>
    <w:rsid w:val="58D655C2"/>
    <w:rsid w:val="599A627B"/>
    <w:rsid w:val="5B2B6F90"/>
    <w:rsid w:val="5BC710D5"/>
    <w:rsid w:val="5CC25FE3"/>
    <w:rsid w:val="5D9A2CF9"/>
    <w:rsid w:val="5EBE004F"/>
    <w:rsid w:val="5F385911"/>
    <w:rsid w:val="60E51DA6"/>
    <w:rsid w:val="62001A55"/>
    <w:rsid w:val="622A25DA"/>
    <w:rsid w:val="62CC26C5"/>
    <w:rsid w:val="64FC246A"/>
    <w:rsid w:val="667855BC"/>
    <w:rsid w:val="690D440A"/>
    <w:rsid w:val="6D924450"/>
    <w:rsid w:val="6DE04A46"/>
    <w:rsid w:val="6DFC1BEC"/>
    <w:rsid w:val="6EFC132F"/>
    <w:rsid w:val="74F02C47"/>
    <w:rsid w:val="74FE0523"/>
    <w:rsid w:val="77F7AD4C"/>
    <w:rsid w:val="78F11383"/>
    <w:rsid w:val="7CE03507"/>
    <w:rsid w:val="7ECF6338"/>
    <w:rsid w:val="7F656F0F"/>
    <w:rsid w:val="7FCB1D09"/>
    <w:rsid w:val="A9F51601"/>
    <w:rsid w:val="CB7781D5"/>
    <w:rsid w:val="ECAE36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autoRedefine/>
    <w:unhideWhenUsed/>
    <w:qFormat/>
    <w:uiPriority w:val="0"/>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annotation text"/>
    <w:basedOn w:val="1"/>
    <w:link w:val="14"/>
    <w:autoRedefine/>
    <w:unhideWhenUsed/>
    <w:qFormat/>
    <w:uiPriority w:val="99"/>
    <w:pPr>
      <w:jc w:val="left"/>
    </w:pPr>
  </w:style>
  <w:style w:type="paragraph" w:styleId="3">
    <w:name w:val="Balloon Text"/>
    <w:basedOn w:val="1"/>
    <w:link w:val="15"/>
    <w:autoRedefine/>
    <w:unhideWhenUsed/>
    <w:qFormat/>
    <w:uiPriority w:val="99"/>
    <w:rPr>
      <w:sz w:val="18"/>
      <w:szCs w:val="18"/>
    </w:rPr>
  </w:style>
  <w:style w:type="paragraph" w:styleId="4">
    <w:name w:val="footer"/>
    <w:basedOn w:val="1"/>
    <w:link w:val="16"/>
    <w:autoRedefine/>
    <w:unhideWhenUsed/>
    <w:qFormat/>
    <w:uiPriority w:val="0"/>
    <w:pPr>
      <w:tabs>
        <w:tab w:val="center" w:pos="4153"/>
        <w:tab w:val="right" w:pos="8306"/>
      </w:tabs>
      <w:snapToGrid w:val="0"/>
      <w:jc w:val="left"/>
    </w:pPr>
    <w:rPr>
      <w:sz w:val="18"/>
      <w:szCs w:val="18"/>
    </w:rPr>
  </w:style>
  <w:style w:type="paragraph" w:styleId="5">
    <w:name w:val="header"/>
    <w:basedOn w:val="1"/>
    <w:link w:val="1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unhideWhenUsed/>
    <w:qFormat/>
    <w:uiPriority w:val="39"/>
    <w:pPr>
      <w:tabs>
        <w:tab w:val="right" w:leader="dot" w:pos="8296"/>
      </w:tabs>
      <w:jc w:val="left"/>
    </w:pPr>
    <w:rPr>
      <w:rFonts w:ascii="黑体" w:hAnsi="黑体" w:eastAsia="黑体" w:cs="Times New Roman"/>
      <w:sz w:val="28"/>
      <w:szCs w:val="24"/>
    </w:rPr>
  </w:style>
  <w:style w:type="paragraph" w:styleId="7">
    <w:name w:val="annotation subject"/>
    <w:basedOn w:val="2"/>
    <w:next w:val="2"/>
    <w:link w:val="18"/>
    <w:autoRedefine/>
    <w:unhideWhenUsed/>
    <w:qFormat/>
    <w:uiPriority w:val="99"/>
    <w:rPr>
      <w:b/>
      <w:bCs/>
    </w:rPr>
  </w:style>
  <w:style w:type="table" w:styleId="9">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autoRedefine/>
    <w:unhideWhenUsed/>
    <w:qFormat/>
    <w:uiPriority w:val="99"/>
    <w:rPr>
      <w:color w:val="0066CC"/>
      <w:u w:val="single"/>
    </w:rPr>
  </w:style>
  <w:style w:type="character" w:styleId="12">
    <w:name w:val="Hyperlink"/>
    <w:basedOn w:val="10"/>
    <w:autoRedefine/>
    <w:unhideWhenUsed/>
    <w:qFormat/>
    <w:uiPriority w:val="99"/>
    <w:rPr>
      <w:color w:val="0066CC"/>
      <w:u w:val="single"/>
    </w:rPr>
  </w:style>
  <w:style w:type="character" w:styleId="13">
    <w:name w:val="annotation reference"/>
    <w:basedOn w:val="10"/>
    <w:autoRedefine/>
    <w:unhideWhenUsed/>
    <w:uiPriority w:val="99"/>
    <w:rPr>
      <w:sz w:val="21"/>
      <w:szCs w:val="21"/>
    </w:rPr>
  </w:style>
  <w:style w:type="character" w:customStyle="1" w:styleId="14">
    <w:name w:val="批注文字 Char"/>
    <w:basedOn w:val="10"/>
    <w:link w:val="2"/>
    <w:autoRedefine/>
    <w:semiHidden/>
    <w:qFormat/>
    <w:uiPriority w:val="99"/>
    <w:rPr>
      <w:kern w:val="2"/>
      <w:sz w:val="21"/>
    </w:rPr>
  </w:style>
  <w:style w:type="character" w:customStyle="1" w:styleId="15">
    <w:name w:val="批注框文本 Char"/>
    <w:basedOn w:val="10"/>
    <w:link w:val="3"/>
    <w:autoRedefine/>
    <w:semiHidden/>
    <w:qFormat/>
    <w:uiPriority w:val="99"/>
    <w:rPr>
      <w:kern w:val="2"/>
      <w:sz w:val="18"/>
      <w:szCs w:val="18"/>
    </w:rPr>
  </w:style>
  <w:style w:type="character" w:customStyle="1" w:styleId="16">
    <w:name w:val="页脚 Char"/>
    <w:basedOn w:val="10"/>
    <w:link w:val="4"/>
    <w:autoRedefine/>
    <w:semiHidden/>
    <w:qFormat/>
    <w:uiPriority w:val="0"/>
    <w:rPr>
      <w:kern w:val="2"/>
      <w:sz w:val="18"/>
      <w:szCs w:val="18"/>
    </w:rPr>
  </w:style>
  <w:style w:type="character" w:customStyle="1" w:styleId="17">
    <w:name w:val="页眉 Char"/>
    <w:basedOn w:val="10"/>
    <w:link w:val="5"/>
    <w:autoRedefine/>
    <w:semiHidden/>
    <w:qFormat/>
    <w:uiPriority w:val="0"/>
    <w:rPr>
      <w:kern w:val="2"/>
      <w:sz w:val="18"/>
      <w:szCs w:val="18"/>
    </w:rPr>
  </w:style>
  <w:style w:type="character" w:customStyle="1" w:styleId="18">
    <w:name w:val="批注主题 Char"/>
    <w:basedOn w:val="14"/>
    <w:link w:val="7"/>
    <w:autoRedefine/>
    <w:semiHidden/>
    <w:qFormat/>
    <w:uiPriority w:val="99"/>
    <w:rPr>
      <w:b/>
      <w:bCs/>
    </w:rPr>
  </w:style>
  <w:style w:type="character" w:customStyle="1" w:styleId="19">
    <w:name w:val="rec-volume"/>
    <w:basedOn w:val="10"/>
    <w:autoRedefine/>
    <w:qFormat/>
    <w:uiPriority w:val="0"/>
  </w:style>
  <w:style w:type="character" w:customStyle="1" w:styleId="20">
    <w:name w:val="rec-time"/>
    <w:basedOn w:val="10"/>
    <w:autoRedefine/>
    <w:uiPriority w:val="0"/>
  </w:style>
  <w:style w:type="character" w:customStyle="1" w:styleId="21">
    <w:name w:val="rec-status-desc"/>
    <w:basedOn w:val="10"/>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1971</Words>
  <Characters>1991</Characters>
  <Lines>15</Lines>
  <Paragraphs>4</Paragraphs>
  <TotalTime>0</TotalTime>
  <ScaleCrop>false</ScaleCrop>
  <LinksUpToDate>false</LinksUpToDate>
  <CharactersWithSpaces>2171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2015-09-25T16:41:00Z</dcterms:created>
  <dc:creator>administrator</dc:creator>
  <cp:lastModifiedBy>沈煜</cp:lastModifiedBy>
  <dcterms:modified xsi:type="dcterms:W3CDTF">2024-04-24T04:26:50Z</dcterms:modified>
  <dc:title>证券代码：002677            证券简称：浙江美大           编号：2015-016 _x000B__x000B_浙江美大实业股份有限公司 _x000B_关于使用闲置募集资金和自有资金进行理财和信托产品投资及委托贷款业务的公告 _x000B_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237924017E492DF1204315665FCEFCBF_43</vt:lpwstr>
  </property>
  <property fmtid="{D5CDD505-2E9C-101B-9397-08002B2CF9AE}" pid="4" name="commondata">
    <vt:lpwstr>eyJoZGlkIjoiOTgzNDk3MTU1M2MxYjFmMGQ3OWYxZTlhZDIwMzM5NGMifQ==</vt:lpwstr>
  </property>
</Properties>
</file>