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Style w:val="22"/>
          <w:rFonts w:hint="default" w:ascii="宋体" w:hAnsi="宋体" w:eastAsia="宋体" w:cs="宋体"/>
          <w:color w:val="000000"/>
          <w:sz w:val="24"/>
          <w:highlight w:val="none"/>
          <w:lang w:val="en-US" w:eastAsia="zh-CN"/>
        </w:rPr>
      </w:pPr>
      <w:r>
        <w:rPr>
          <w:rFonts w:hint="eastAsia" w:ascii="宋体" w:hAnsi="宋体" w:eastAsia="宋体" w:cs="宋体"/>
          <w:sz w:val="24"/>
          <w:szCs w:val="24"/>
          <w:lang w:val="en-US" w:eastAsia="zh-CN"/>
        </w:rPr>
        <w:t>证券</w:t>
      </w:r>
      <w:r>
        <w:rPr>
          <w:rFonts w:hint="eastAsia" w:ascii="宋体" w:hAnsi="宋体" w:eastAsia="宋体" w:cs="宋体"/>
          <w:sz w:val="24"/>
          <w:szCs w:val="24"/>
        </w:rPr>
        <w:t xml:space="preserve">代码：002043              </w:t>
      </w:r>
      <w:r>
        <w:rPr>
          <w:rFonts w:hint="eastAsia" w:ascii="宋体" w:hAnsi="宋体" w:eastAsia="宋体" w:cs="宋体"/>
          <w:sz w:val="24"/>
          <w:szCs w:val="24"/>
          <w:lang w:val="en-US" w:eastAsia="zh-CN"/>
        </w:rPr>
        <w:t>证券</w:t>
      </w:r>
      <w:r>
        <w:rPr>
          <w:rFonts w:hint="eastAsia" w:ascii="宋体" w:hAnsi="宋体" w:eastAsia="宋体" w:cs="宋体"/>
          <w:sz w:val="24"/>
          <w:szCs w:val="24"/>
        </w:rPr>
        <w:t>简称：兔宝宝              公告编号</w:t>
      </w:r>
      <w:r>
        <w:rPr>
          <w:rFonts w:hint="eastAsia" w:ascii="宋体" w:hAnsi="宋体" w:eastAsia="宋体" w:cs="宋体"/>
          <w:sz w:val="24"/>
          <w:szCs w:val="24"/>
          <w:highlight w:val="none"/>
        </w:rPr>
        <w:t>：</w:t>
      </w:r>
      <w:r>
        <w:rPr>
          <w:rStyle w:val="22"/>
          <w:rFonts w:hint="eastAsia" w:ascii="宋体" w:hAnsi="宋体" w:eastAsia="宋体" w:cs="宋体"/>
          <w:color w:val="000000"/>
          <w:sz w:val="24"/>
          <w:highlight w:val="none"/>
          <w:lang w:val="en-US" w:eastAsia="zh-CN"/>
        </w:rPr>
        <w:t>2024-026</w:t>
      </w:r>
    </w:p>
    <w:p>
      <w:pPr>
        <w:spacing w:after="156" w:afterLines="50" w:line="360" w:lineRule="exact"/>
        <w:jc w:val="center"/>
        <w:rPr>
          <w:rFonts w:ascii="Times New Roman" w:hAnsi="Times New Roman" w:eastAsia="黑体" w:cs="Times New Roman"/>
          <w:sz w:val="18"/>
          <w:szCs w:val="18"/>
        </w:rPr>
      </w:pPr>
    </w:p>
    <w:p>
      <w:pPr>
        <w:spacing w:line="440" w:lineRule="exact"/>
        <w:jc w:val="center"/>
        <w:rPr>
          <w:rFonts w:hint="eastAsia" w:ascii="宋体" w:hAnsi="宋体" w:eastAsia="宋体" w:cs="宋体"/>
          <w:b/>
          <w:bCs/>
          <w:sz w:val="30"/>
          <w:szCs w:val="30"/>
        </w:rPr>
      </w:pPr>
      <w:r>
        <w:rPr>
          <w:rFonts w:hint="eastAsia" w:ascii="宋体" w:hAnsi="宋体" w:eastAsia="宋体" w:cs="宋体"/>
          <w:b/>
          <w:bCs/>
          <w:sz w:val="30"/>
          <w:szCs w:val="30"/>
        </w:rPr>
        <w:t>德华兔宝宝装饰新材股份有限公司</w:t>
      </w:r>
    </w:p>
    <w:p>
      <w:pPr>
        <w:spacing w:line="440" w:lineRule="exact"/>
        <w:jc w:val="center"/>
        <w:rPr>
          <w:rFonts w:hint="eastAsia" w:ascii="宋体" w:hAnsi="宋体" w:eastAsia="宋体" w:cs="宋体"/>
          <w:b/>
          <w:bCs/>
          <w:sz w:val="30"/>
          <w:szCs w:val="30"/>
        </w:rPr>
      </w:pPr>
      <w:r>
        <w:rPr>
          <w:rFonts w:hint="eastAsia" w:ascii="宋体" w:hAnsi="宋体" w:eastAsia="宋体" w:cs="宋体"/>
          <w:b/>
          <w:bCs/>
          <w:sz w:val="30"/>
          <w:szCs w:val="30"/>
        </w:rPr>
        <w:t>关于回购注销部分限制性股票的公告</w:t>
      </w:r>
    </w:p>
    <w:p>
      <w:pPr>
        <w:spacing w:line="440" w:lineRule="exact"/>
        <w:jc w:val="center"/>
        <w:rPr>
          <w:rFonts w:ascii="Times New Roman" w:hAnsi="Times New Roman" w:eastAsia="黑体" w:cs="Times New Roman"/>
          <w:sz w:val="30"/>
          <w:szCs w:val="30"/>
        </w:rPr>
      </w:pPr>
    </w:p>
    <w:p>
      <w:pPr>
        <w:spacing w:line="440" w:lineRule="exact"/>
        <w:ind w:firstLine="480" w:firstLineChars="200"/>
        <w:rPr>
          <w:rFonts w:hint="eastAsia" w:ascii="Times New Roman" w:hAnsi="Times New Roman" w:eastAsia="宋体" w:cs="Times New Roman"/>
          <w:bCs/>
          <w:sz w:val="24"/>
          <w:szCs w:val="24"/>
        </w:rPr>
      </w:pPr>
      <w:r>
        <w:rPr>
          <w:rFonts w:hint="eastAsia" w:ascii="Times New Roman" w:hAnsi="Times New Roman" w:eastAsia="宋体" w:cs="Times New Roman"/>
          <w:bCs/>
          <w:sz w:val="24"/>
          <w:szCs w:val="24"/>
        </w:rPr>
        <w:t>本公司及董事会全体成员保证信息披露内容的真实、准确和完整，没有虚假记载、误导性陈述或重大遗漏。</w:t>
      </w:r>
    </w:p>
    <w:p>
      <w:pPr>
        <w:spacing w:line="440" w:lineRule="exact"/>
        <w:ind w:firstLine="480" w:firstLineChars="200"/>
        <w:rPr>
          <w:rFonts w:hint="eastAsia" w:ascii="Times New Roman" w:hAnsi="Times New Roman" w:eastAsia="宋体" w:cs="Times New Roman"/>
          <w:bCs/>
          <w:sz w:val="24"/>
          <w:szCs w:val="24"/>
        </w:rPr>
      </w:pPr>
    </w:p>
    <w:p>
      <w:pPr>
        <w:spacing w:line="440" w:lineRule="exact"/>
        <w:ind w:firstLine="480" w:firstLineChars="200"/>
        <w:rPr>
          <w:rFonts w:ascii="Times New Roman" w:hAnsi="Times New Roman" w:eastAsia="宋体" w:cs="Times New Roman"/>
          <w:bCs/>
          <w:sz w:val="24"/>
          <w:szCs w:val="24"/>
        </w:rPr>
      </w:pPr>
      <w:r>
        <w:rPr>
          <w:rFonts w:hint="eastAsia" w:ascii="Times New Roman" w:hAnsi="Times New Roman" w:eastAsia="宋体" w:cs="Times New Roman"/>
          <w:bCs/>
          <w:sz w:val="24"/>
          <w:szCs w:val="24"/>
        </w:rPr>
        <w:t>重要内容提示：</w:t>
      </w:r>
    </w:p>
    <w:p>
      <w:pPr>
        <w:spacing w:line="440" w:lineRule="exact"/>
        <w:ind w:firstLine="480" w:firstLineChars="200"/>
        <w:rPr>
          <w:rFonts w:hint="eastAsia" w:ascii="宋体" w:hAnsi="宋体" w:eastAsia="宋体" w:cs="宋体"/>
          <w:bCs/>
          <w:sz w:val="24"/>
          <w:szCs w:val="24"/>
          <w:highlight w:val="none"/>
          <w:lang w:eastAsia="zh-CN"/>
        </w:rPr>
      </w:pPr>
      <w:r>
        <w:rPr>
          <w:rFonts w:hint="eastAsia" w:ascii="Times New Roman" w:hAnsi="Times New Roman" w:eastAsia="宋体" w:cs="Times New Roman"/>
          <w:bCs/>
          <w:sz w:val="24"/>
          <w:szCs w:val="24"/>
        </w:rPr>
        <w:t xml:space="preserve">● </w:t>
      </w:r>
      <w:r>
        <w:rPr>
          <w:rFonts w:hint="eastAsia" w:ascii="宋体" w:hAnsi="宋体" w:eastAsia="宋体" w:cs="宋体"/>
          <w:bCs/>
          <w:sz w:val="24"/>
          <w:szCs w:val="24"/>
        </w:rPr>
        <w:t>本次拟回购注销限制性股票数量共计</w:t>
      </w:r>
      <w:r>
        <w:rPr>
          <w:rFonts w:hint="eastAsia" w:ascii="宋体" w:hAnsi="宋体" w:eastAsia="宋体" w:cs="宋体"/>
          <w:bCs/>
          <w:sz w:val="24"/>
          <w:szCs w:val="24"/>
          <w:highlight w:val="none"/>
          <w:lang w:val="en-US" w:eastAsia="zh-CN"/>
        </w:rPr>
        <w:t>7,087,449</w:t>
      </w:r>
      <w:r>
        <w:rPr>
          <w:rFonts w:hint="eastAsia" w:ascii="宋体" w:hAnsi="宋体" w:eastAsia="宋体" w:cs="宋体"/>
          <w:bCs/>
          <w:sz w:val="24"/>
          <w:szCs w:val="24"/>
          <w:highlight w:val="none"/>
        </w:rPr>
        <w:t>股，占公司目前总股本比例为</w:t>
      </w:r>
      <w:r>
        <w:rPr>
          <w:rFonts w:hint="eastAsia" w:ascii="宋体" w:hAnsi="宋体" w:eastAsia="宋体" w:cs="宋体"/>
          <w:bCs/>
          <w:sz w:val="24"/>
          <w:szCs w:val="24"/>
          <w:highlight w:val="none"/>
          <w:lang w:val="en-US" w:eastAsia="zh-CN"/>
        </w:rPr>
        <w:t>0.84</w:t>
      </w: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eastAsia="zh-CN"/>
        </w:rPr>
        <w:t>。</w:t>
      </w:r>
    </w:p>
    <w:p>
      <w:pPr>
        <w:spacing w:line="440" w:lineRule="exact"/>
        <w:ind w:firstLine="480" w:firstLineChars="200"/>
        <w:rPr>
          <w:rFonts w:hint="eastAsia" w:ascii="Times New Roman" w:hAnsi="Times New Roman" w:eastAsia="宋体" w:cs="Times New Roman"/>
          <w:bCs/>
          <w:sz w:val="24"/>
          <w:szCs w:val="24"/>
        </w:rPr>
      </w:pPr>
    </w:p>
    <w:p>
      <w:pPr>
        <w:spacing w:line="44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德华兔宝宝装饰新材股份有限公司（以下简称“公司”或“兔宝宝”）</w:t>
      </w:r>
      <w:r>
        <w:rPr>
          <w:rFonts w:hint="eastAsia" w:ascii="宋体" w:hAnsi="宋体" w:eastAsia="宋体" w:cs="宋体"/>
          <w:bCs/>
          <w:sz w:val="24"/>
          <w:szCs w:val="24"/>
          <w:lang w:val="en-US" w:eastAsia="zh-CN"/>
        </w:rPr>
        <w:t>于2023年4月23日召开第八届董事会第八次会议和第八届监事会第五次会议，审议通过了《</w:t>
      </w:r>
      <w:r>
        <w:rPr>
          <w:rFonts w:hint="eastAsia" w:ascii="宋体" w:hAnsi="宋体" w:eastAsia="宋体" w:cs="Times New Roman"/>
          <w:sz w:val="24"/>
          <w:lang w:val="en-US" w:eastAsia="zh-CN"/>
        </w:rPr>
        <w:t>关于回购注销2021年限制性股票激励计划部分限制性股票的议案</w:t>
      </w:r>
      <w:r>
        <w:rPr>
          <w:rFonts w:hint="eastAsia" w:ascii="宋体" w:hAnsi="宋体" w:eastAsia="宋体" w:cs="宋体"/>
          <w:bCs/>
          <w:sz w:val="24"/>
          <w:szCs w:val="24"/>
          <w:lang w:val="en-US" w:eastAsia="zh-CN"/>
        </w:rPr>
        <w:t>》，同意回购第二期因公司层面以及部分激励对象个人层面业绩未达到业绩考核目标的未解锁股票4,114,449股，同时对100位因离职、个人原因放弃等不符合激励条件的原激励对象已获授但尚未解除限售的2,973,000股限制性股票进行回购注销，合计需回购限制性股票7,087,449股</w:t>
      </w:r>
      <w:r>
        <w:rPr>
          <w:rFonts w:hint="eastAsia" w:ascii="宋体" w:hAnsi="宋体" w:eastAsia="宋体" w:cs="宋体"/>
          <w:bCs/>
          <w:sz w:val="24"/>
          <w:szCs w:val="24"/>
        </w:rPr>
        <w:t>，占公司目前总股本比例为</w:t>
      </w:r>
      <w:r>
        <w:rPr>
          <w:rFonts w:hint="eastAsia" w:ascii="宋体" w:hAnsi="宋体" w:eastAsia="宋体" w:cs="宋体"/>
          <w:bCs/>
          <w:sz w:val="24"/>
          <w:szCs w:val="24"/>
          <w:highlight w:val="none"/>
          <w:lang w:val="en-US" w:eastAsia="zh-CN"/>
        </w:rPr>
        <w:t>0.84</w:t>
      </w:r>
      <w:r>
        <w:rPr>
          <w:rFonts w:hint="eastAsia" w:ascii="宋体" w:hAnsi="宋体" w:eastAsia="宋体" w:cs="宋体"/>
          <w:bCs/>
          <w:sz w:val="24"/>
          <w:szCs w:val="24"/>
          <w:highlight w:val="none"/>
        </w:rPr>
        <w:t>%</w:t>
      </w:r>
      <w:r>
        <w:rPr>
          <w:rFonts w:hint="eastAsia" w:ascii="宋体" w:hAnsi="宋体" w:eastAsia="宋体" w:cs="宋体"/>
          <w:bCs/>
          <w:sz w:val="24"/>
          <w:szCs w:val="24"/>
          <w:lang w:val="en-US" w:eastAsia="zh-CN"/>
        </w:rPr>
        <w:t>。本议案尚需提交股东大会审议，现将相关事项公告如下：</w:t>
      </w:r>
    </w:p>
    <w:p>
      <w:pPr>
        <w:numPr>
          <w:ilvl w:val="0"/>
          <w:numId w:val="2"/>
        </w:numPr>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2021年激励计划已履行的相关程序</w:t>
      </w:r>
    </w:p>
    <w:p>
      <w:pPr>
        <w:spacing w:line="44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1、2021年11月22日，公司第七届董事会第十二次会议审议通过了《关于公司&lt;2021年限制性股票激励计划（草案）&gt;及其摘要的议案》《关于公司&lt;2021年限制性股票激励计划实施考核办法&gt;的议案》和《关于提请股东大会授权董事会全权办理公司2021年限制性股票激励计划相关事宜的议案》，公司独立董事发表了独立意见，公司第七届监事会第九次会议审议通过相关议案。公司聘请的浙江天册律师事务所对本次激励计划相关事项出具了法律意见书。</w:t>
      </w:r>
    </w:p>
    <w:p>
      <w:pPr>
        <w:spacing w:line="44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2、2021年11月24日至2021年12月3日，公司对本激励计划拟激励对象的姓名和职务在公司内部进行了公示。在公示期内，公司未收任何组织或个人提出的异议。公示期满后，公司监事会披露了《关于2021年限制性股票激励计划激励名单核查及公示情况的说明》。</w:t>
      </w:r>
    </w:p>
    <w:p>
      <w:pPr>
        <w:spacing w:line="44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3、2021年12月9日，公司2021年第三次临时股东大会审议通过了《关于公司&lt;2021年限制性股票激励计划（草案）&gt;及其摘要的议案》《关于公司&lt;2021年限制性股票激励计划实施考核办法&gt;的议案》和《关于提请股东大会授权董事会全权办理公司2021年限制性股票激励计划相关事宜的议案》。公司实施本激励计划获得批准，董事会被授权确定授予日、在激励对象符合条件时向激励对象授予限制性股票，并办理授予所必需的全部事宜。</w:t>
      </w:r>
    </w:p>
    <w:p>
      <w:pPr>
        <w:spacing w:line="44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4、</w:t>
      </w:r>
      <w:r>
        <w:rPr>
          <w:rFonts w:hint="eastAsia" w:ascii="宋体" w:hAnsi="宋体" w:eastAsia="宋体" w:cs="宋体"/>
          <w:bCs/>
          <w:sz w:val="24"/>
          <w:szCs w:val="24"/>
          <w:highlight w:val="none"/>
        </w:rPr>
        <w:t>2021年12月</w:t>
      </w:r>
      <w:r>
        <w:rPr>
          <w:rFonts w:hint="eastAsia" w:ascii="宋体" w:hAnsi="宋体" w:eastAsia="宋体" w:cs="宋体"/>
          <w:bCs/>
          <w:sz w:val="24"/>
          <w:szCs w:val="24"/>
          <w:highlight w:val="none"/>
          <w:lang w:val="en-US" w:eastAsia="zh-CN"/>
        </w:rPr>
        <w:t>30</w:t>
      </w:r>
      <w:r>
        <w:rPr>
          <w:rFonts w:hint="eastAsia" w:ascii="宋体" w:hAnsi="宋体" w:eastAsia="宋体" w:cs="宋体"/>
          <w:bCs/>
          <w:sz w:val="24"/>
          <w:szCs w:val="24"/>
          <w:highlight w:val="none"/>
        </w:rPr>
        <w:t>日，公司第七届董事会第十三次会议及第七届监事会第十次会议审议通过《关于调整2021年限制性股票激励计划激励对象名单及授予数量的议案》《关于向2021年限制性股票激励计划激励对象授予限制性股票的议案》。公司独立董事对此发表了独立意见，监事会对本次激励计划调整及授予日激励对象名单进行了核实并发表了同意的意见。公司聘请</w:t>
      </w:r>
      <w:r>
        <w:rPr>
          <w:rFonts w:hint="eastAsia" w:ascii="宋体" w:hAnsi="宋体" w:eastAsia="宋体" w:cs="宋体"/>
          <w:bCs/>
          <w:sz w:val="24"/>
          <w:szCs w:val="24"/>
        </w:rPr>
        <w:t>的浙江天册律师事务所对本次激励计划的调整和授予相关事项出具了法律意见书。</w:t>
      </w:r>
    </w:p>
    <w:p>
      <w:pPr>
        <w:spacing w:line="440" w:lineRule="exact"/>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5、2022年10月25日，公司召开第七届董事会第十七次会议和第七届监事会第十三次会议，审议通过了《关于调整第二期员工持股计划及2021年限制性股票激励计划公司业绩考核指标的议案》，决定调整第二期员工持股及2021年限制性股票激励计划的公司业绩考核指标，独立董事发表了同意的独立意见。浙江天册律师事务所对此出具《关于德华兔宝宝装饰新材股份有限公司2021年限制性股票激励计划调整相关事项之法律意见书》。</w:t>
      </w:r>
    </w:p>
    <w:p>
      <w:pPr>
        <w:spacing w:line="440" w:lineRule="exact"/>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6、2022年11月10日，公司召开2022年第一次临时股东大会，审议通过了《关于调整第二期员工持股计划及2021年限制性股票激励计划公司业绩考核指标的议案》。</w:t>
      </w:r>
    </w:p>
    <w:p>
      <w:pPr>
        <w:spacing w:line="440" w:lineRule="exact"/>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7、2023年4月26日，公司召开第七届董事会第二十二次会议和第七届监事会第十七次会议，审议通过了《关于2021年限制性股票激励计划第一个解除限售期解除限售条件部分成就的议案》，同意公司按照2021年限制性股票激励计划（草案修订稿）的相关规定为本次符合解除限售条件</w:t>
      </w:r>
      <w:r>
        <w:rPr>
          <w:rFonts w:hint="eastAsia" w:ascii="宋体" w:hAnsi="宋体" w:eastAsia="宋体" w:cs="宋体"/>
          <w:bCs/>
          <w:sz w:val="24"/>
          <w:szCs w:val="24"/>
          <w:highlight w:val="none"/>
          <w:lang w:val="en-US" w:eastAsia="zh-CN"/>
        </w:rPr>
        <w:t>的410名激励对象所持共7,651,413股</w:t>
      </w:r>
      <w:r>
        <w:rPr>
          <w:rFonts w:hint="eastAsia" w:ascii="宋体" w:hAnsi="宋体" w:eastAsia="宋体" w:cs="宋体"/>
          <w:bCs/>
          <w:sz w:val="24"/>
          <w:szCs w:val="24"/>
          <w:lang w:val="en-US" w:eastAsia="zh-CN"/>
        </w:rPr>
        <w:t>限制性股票办理解除限售事宜，独立董事发表了同意的独立意见。浙江天册律师事务所出具了关于公司2021年限制性股票激励计划第一个解除限售期解除限售条件部分成就的法律意见书。</w:t>
      </w:r>
    </w:p>
    <w:p>
      <w:pPr>
        <w:spacing w:line="440" w:lineRule="exact"/>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8、2023年4月26日，召开第七届董事会第二十二次会议和第七届监事会第十七次会议，审议通过了《</w:t>
      </w:r>
      <w:r>
        <w:rPr>
          <w:rFonts w:hint="eastAsia" w:ascii="宋体" w:hAnsi="宋体" w:eastAsia="宋体" w:cs="Times New Roman"/>
          <w:sz w:val="24"/>
          <w:lang w:val="en-US" w:eastAsia="zh-CN"/>
        </w:rPr>
        <w:t>关于回购注销2021年限制性股票激励计划部分限制性股票的议案</w:t>
      </w:r>
      <w:r>
        <w:rPr>
          <w:rFonts w:hint="eastAsia" w:ascii="宋体" w:hAnsi="宋体" w:eastAsia="宋体" w:cs="宋体"/>
          <w:bCs/>
          <w:sz w:val="24"/>
          <w:szCs w:val="24"/>
          <w:lang w:val="en-US" w:eastAsia="zh-CN"/>
        </w:rPr>
        <w:t>》，同意回购第一期因公司层面以及部分激励对象个人层面业绩未达到业绩考核目标的未解锁股票3,916,587股，同时对17位因离职等原因不符合激励条件的原激励对象已获授但尚未解除限售的540,000股限制性股票进行回购注销，合计需回购限制性股票4,456,587股。</w:t>
      </w:r>
    </w:p>
    <w:p>
      <w:pPr>
        <w:spacing w:line="440" w:lineRule="exact"/>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9、2023年5月23日，公司召开2022年度股东大会，会议审议通过了《关于回购注销2021年限制性股票激励计划部分限制性股票的议案》。</w:t>
      </w:r>
    </w:p>
    <w:p>
      <w:pPr>
        <w:spacing w:line="440" w:lineRule="exact"/>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10、2023年10月9日，公司召开第八届董事会第三次会议和第八届监事会第三次会议，审议通过了《关于回购并注销离职人员已获授但尚未解锁的2021年限制性股票的议案》，同意对22位因离职等原因不符合激励条件的原激励对象已获授但尚未解除限售的660,000股限制性股票进行回购注销，占公司目前总股本比例为0.08%。公司独立董事发表了同意的独立意见。</w:t>
      </w:r>
    </w:p>
    <w:p>
      <w:pPr>
        <w:spacing w:line="440" w:lineRule="exact"/>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11、2023年10月25日，公司召开2023年第二次临时股东大会，会议审议通过了《关于回购并注销离职人员已获授但尚未解锁的2021年限制性股票的议案》。</w:t>
      </w:r>
    </w:p>
    <w:p>
      <w:pPr>
        <w:spacing w:line="440" w:lineRule="exact"/>
        <w:ind w:firstLine="480" w:firstLineChars="20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12、2024年4月23日，公司召开第八届董事会第八次会议和第八届监事会第五次会议，审议通过了《关于2021年限制性股票激励计划第二个解除限售期解除限售条件部分成就的议案》，同意公司按照2021年限制性股票激励计划（草案修订稿）的相关规定为本次符合解除限售条件的277名激励对象所持共3,937,551股限制性股票办理解除限售事宜。浙江天册律师事务所出具了关于公司2021年限制性股票激励计划第二个解除限售期解除限售条件部分成就的法律意见书。</w:t>
      </w:r>
    </w:p>
    <w:p>
      <w:pPr>
        <w:spacing w:line="440" w:lineRule="exact"/>
        <w:ind w:firstLine="480" w:firstLineChars="200"/>
        <w:rPr>
          <w:rFonts w:hint="default" w:ascii="宋体" w:hAnsi="宋体" w:eastAsia="宋体" w:cs="宋体"/>
          <w:bCs/>
          <w:sz w:val="24"/>
          <w:szCs w:val="24"/>
          <w:lang w:val="en-US" w:eastAsia="zh-CN"/>
        </w:rPr>
      </w:pPr>
      <w:r>
        <w:rPr>
          <w:rFonts w:hint="eastAsia" w:ascii="宋体" w:hAnsi="宋体" w:eastAsia="宋体" w:cs="宋体"/>
          <w:bCs/>
          <w:sz w:val="24"/>
          <w:szCs w:val="24"/>
          <w:lang w:val="en-US" w:eastAsia="zh-CN"/>
        </w:rPr>
        <w:t>13、2024年4月23日，公司召开第八届董事会第八次会议和第八届监事会第五次会议，审议通过了《关于回购注销2021年限制性股票激励计划部分限制性股票的议案》，</w:t>
      </w:r>
      <w:r>
        <w:rPr>
          <w:rFonts w:hint="default" w:ascii="宋体" w:hAnsi="宋体" w:eastAsia="宋体" w:cs="宋体"/>
          <w:bCs/>
          <w:sz w:val="24"/>
          <w:szCs w:val="24"/>
          <w:lang w:val="en-US" w:eastAsia="zh-CN"/>
        </w:rPr>
        <w:t>同意回购第二期因公司层面以及部分激励对象个人层面业绩未达到业绩考核目标的未解锁股票4,114,449股，同时对100位因离职、个人原因放弃等不符合激励条件的原激励对象已获授但尚未解除限售的2,973,000股限制性股票进行回购注销，合计需回购限制性股票7,087,449股，占公司目前总股本比例为0.84%。</w:t>
      </w:r>
    </w:p>
    <w:p>
      <w:pPr>
        <w:numPr>
          <w:ilvl w:val="0"/>
          <w:numId w:val="2"/>
        </w:numPr>
        <w:spacing w:line="440" w:lineRule="exact"/>
        <w:ind w:left="0" w:leftChars="0" w:firstLine="482" w:firstLineChars="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本次限制性股票回购注销情况</w:t>
      </w:r>
    </w:p>
    <w:p>
      <w:pPr>
        <w:numPr>
          <w:ilvl w:val="0"/>
          <w:numId w:val="3"/>
        </w:numPr>
        <w:spacing w:line="44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本次回购注销限制性股票的原因</w:t>
      </w:r>
    </w:p>
    <w:p>
      <w:pPr>
        <w:widowControl w:val="0"/>
        <w:numPr>
          <w:ilvl w:val="0"/>
          <w:numId w:val="0"/>
        </w:numPr>
        <w:spacing w:line="440" w:lineRule="exact"/>
        <w:ind w:left="0" w:leftChars="0" w:firstLine="480" w:firstLineChars="200"/>
        <w:jc w:val="both"/>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1、根据《公司2021年限制性股票激励计划（草案修订稿）》“第八章 限制性股票的授予与解除限售条件”的相关规定，公司及部分激励对象个人因业绩考核目标未全部成就，若各解除限售期内，公司当期业绩水平未达到业绩考核目标而对应的未解锁股票权益，将由公司在当期解除限售日之后回购注销。第二期因公司层面以及部分激励对象个人层面业绩未达到业绩考核目标的未解锁股票需回购注销。</w:t>
      </w:r>
    </w:p>
    <w:p>
      <w:pPr>
        <w:widowControl w:val="0"/>
        <w:numPr>
          <w:ilvl w:val="0"/>
          <w:numId w:val="0"/>
        </w:numPr>
        <w:spacing w:line="440" w:lineRule="exact"/>
        <w:ind w:left="0" w:leftChars="0"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2、在房地产面临巨大调整压力的市场环境下，近一年公司子公司青岛裕丰汉唐有限公司组织架构和人员职务都发生了较大变化，本着自愿原则，公司 2021年限制性股票激励计划激励对象中88名激励对象因个人原因自愿放弃其已获授但尚未解除限售的全部限制性股票，12名激励对象因离职不符合激励对象条件。根据《公司2021年限制性股票激励计划（草案修订稿）》“第八章 限制性股票的授予与解除限售条件”以及“第十三章 公司/激励对象发生异动时本激励计划的处理 ”的相关规定，上述激励对象已获授但尚未解除限售的限制性股票不得解除限售，由公司以授予价格加上银行同期存款利息进行回购注销。</w:t>
      </w:r>
    </w:p>
    <w:p>
      <w:pPr>
        <w:widowControl w:val="0"/>
        <w:numPr>
          <w:ilvl w:val="0"/>
          <w:numId w:val="3"/>
        </w:numPr>
        <w:spacing w:line="440" w:lineRule="exact"/>
        <w:ind w:left="0" w:leftChars="0"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本次限制性股票回购数量、价格及资金来源</w:t>
      </w:r>
    </w:p>
    <w:p>
      <w:pPr>
        <w:widowControl w:val="0"/>
        <w:numPr>
          <w:ilvl w:val="0"/>
          <w:numId w:val="4"/>
        </w:numPr>
        <w:spacing w:line="440" w:lineRule="exact"/>
        <w:ind w:left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本次限制性股票回购数量</w:t>
      </w:r>
    </w:p>
    <w:p>
      <w:pPr>
        <w:widowControl w:val="0"/>
        <w:numPr>
          <w:ilvl w:val="0"/>
          <w:numId w:val="0"/>
        </w:numPr>
        <w:spacing w:line="440" w:lineRule="exact"/>
        <w:ind w:left="0" w:leftChars="0"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公司本次拟回购注销的限制性股票总数为</w:t>
      </w:r>
      <w:r>
        <w:rPr>
          <w:rFonts w:hint="eastAsia" w:ascii="宋体" w:hAnsi="宋体" w:eastAsia="宋体" w:cs="宋体"/>
          <w:bCs/>
          <w:sz w:val="24"/>
          <w:szCs w:val="24"/>
          <w:lang w:val="en-US" w:eastAsia="zh-CN"/>
        </w:rPr>
        <w:t>7,087,449股</w:t>
      </w:r>
      <w:r>
        <w:rPr>
          <w:rFonts w:hint="eastAsia" w:ascii="宋体" w:hAnsi="宋体" w:eastAsia="宋体" w:cs="宋体"/>
          <w:sz w:val="24"/>
          <w:szCs w:val="24"/>
          <w:highlight w:val="none"/>
          <w:lang w:val="en-US" w:eastAsia="zh-CN"/>
        </w:rPr>
        <w:t>，占股权激励计划所涉及标的股票的24.51%，</w:t>
      </w:r>
      <w:r>
        <w:rPr>
          <w:rFonts w:hint="eastAsia" w:ascii="宋体" w:hAnsi="宋体" w:eastAsia="宋体" w:cs="宋体"/>
          <w:bCs/>
          <w:sz w:val="24"/>
          <w:szCs w:val="24"/>
          <w:highlight w:val="none"/>
        </w:rPr>
        <w:t>占公司目前总股本比例为</w:t>
      </w:r>
      <w:r>
        <w:rPr>
          <w:rFonts w:hint="eastAsia" w:ascii="宋体" w:hAnsi="宋体" w:eastAsia="宋体" w:cs="宋体"/>
          <w:bCs/>
          <w:sz w:val="24"/>
          <w:szCs w:val="24"/>
          <w:highlight w:val="none"/>
          <w:lang w:val="en-US" w:eastAsia="zh-CN"/>
        </w:rPr>
        <w:t>0.84</w:t>
      </w:r>
      <w:r>
        <w:rPr>
          <w:rFonts w:hint="eastAsia" w:ascii="宋体" w:hAnsi="宋体" w:eastAsia="宋体" w:cs="宋体"/>
          <w:bCs/>
          <w:sz w:val="24"/>
          <w:szCs w:val="24"/>
          <w:highlight w:val="none"/>
        </w:rPr>
        <w:t>%</w:t>
      </w:r>
      <w:r>
        <w:rPr>
          <w:rFonts w:hint="eastAsia" w:ascii="宋体" w:hAnsi="宋体" w:eastAsia="宋体" w:cs="宋体"/>
          <w:bCs/>
          <w:sz w:val="24"/>
          <w:szCs w:val="24"/>
          <w:highlight w:val="none"/>
          <w:lang w:eastAsia="zh-CN"/>
        </w:rPr>
        <w:t>。</w:t>
      </w:r>
    </w:p>
    <w:p>
      <w:pPr>
        <w:widowControl w:val="0"/>
        <w:numPr>
          <w:ilvl w:val="0"/>
          <w:numId w:val="4"/>
        </w:numPr>
        <w:spacing w:line="440" w:lineRule="exact"/>
        <w:ind w:leftChars="200"/>
        <w:jc w:val="both"/>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本次限制性股票回购价格</w:t>
      </w:r>
    </w:p>
    <w:p>
      <w:pPr>
        <w:widowControl w:val="0"/>
        <w:numPr>
          <w:ilvl w:val="0"/>
          <w:numId w:val="0"/>
        </w:numPr>
        <w:spacing w:line="440" w:lineRule="exact"/>
        <w:ind w:left="0" w:leftChars="0" w:firstLine="480" w:firstLineChars="200"/>
        <w:jc w:val="both"/>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以授予价格</w:t>
      </w:r>
      <w:r>
        <w:rPr>
          <w:rFonts w:hint="eastAsia" w:ascii="宋体" w:hAnsi="宋体" w:eastAsia="宋体" w:cs="宋体"/>
          <w:sz w:val="24"/>
          <w:szCs w:val="24"/>
          <w:highlight w:val="none"/>
          <w:lang w:val="en-US" w:eastAsia="zh-CN"/>
        </w:rPr>
        <w:t>（5.01元/股）</w:t>
      </w:r>
      <w:r>
        <w:rPr>
          <w:rFonts w:hint="default" w:ascii="宋体" w:hAnsi="宋体" w:eastAsia="宋体" w:cs="宋体"/>
          <w:sz w:val="24"/>
          <w:szCs w:val="24"/>
          <w:highlight w:val="none"/>
          <w:lang w:val="en-US" w:eastAsia="zh-CN"/>
        </w:rPr>
        <w:t>加上银行同期存款利息进行回购注销</w:t>
      </w:r>
      <w:r>
        <w:rPr>
          <w:rFonts w:hint="eastAsia" w:ascii="宋体" w:hAnsi="宋体" w:eastAsia="宋体" w:cs="宋体"/>
          <w:sz w:val="24"/>
          <w:szCs w:val="24"/>
          <w:highlight w:val="none"/>
          <w:lang w:val="en-US" w:eastAsia="zh-CN"/>
        </w:rPr>
        <w:t>。</w:t>
      </w:r>
    </w:p>
    <w:p>
      <w:pPr>
        <w:widowControl w:val="0"/>
        <w:numPr>
          <w:ilvl w:val="0"/>
          <w:numId w:val="4"/>
        </w:numPr>
        <w:spacing w:line="440" w:lineRule="exact"/>
        <w:ind w:leftChars="200"/>
        <w:jc w:val="both"/>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本次限制性股票回购资金来源</w:t>
      </w:r>
    </w:p>
    <w:p>
      <w:pPr>
        <w:widowControl w:val="0"/>
        <w:numPr>
          <w:ilvl w:val="0"/>
          <w:numId w:val="0"/>
        </w:numPr>
        <w:spacing w:line="440" w:lineRule="exact"/>
        <w:ind w:left="0" w:leftChars="0" w:firstLine="480" w:firstLineChars="200"/>
        <w:jc w:val="both"/>
        <w:rPr>
          <w:rFonts w:hint="default" w:ascii="宋体" w:hAnsi="宋体" w:eastAsia="宋体" w:cs="宋体"/>
          <w:sz w:val="24"/>
          <w:szCs w:val="24"/>
          <w:highlight w:val="none"/>
          <w:lang w:val="en-US" w:eastAsia="zh-CN"/>
        </w:rPr>
      </w:pPr>
      <w:r>
        <w:rPr>
          <w:rFonts w:hint="default" w:ascii="宋体" w:hAnsi="宋体" w:eastAsia="宋体" w:cs="宋体"/>
          <w:sz w:val="24"/>
          <w:szCs w:val="24"/>
          <w:highlight w:val="none"/>
          <w:lang w:val="en-US" w:eastAsia="zh-CN"/>
        </w:rPr>
        <w:t>本次限制性股票回购资金来源为公司自有资金，资金总额为</w:t>
      </w:r>
      <w:r>
        <w:rPr>
          <w:rFonts w:hint="eastAsia" w:ascii="宋体" w:hAnsi="宋体" w:eastAsia="宋体" w:cs="宋体"/>
          <w:sz w:val="24"/>
          <w:szCs w:val="24"/>
          <w:highlight w:val="none"/>
          <w:lang w:val="en-US" w:eastAsia="zh-CN"/>
        </w:rPr>
        <w:t>3679.96万</w:t>
      </w:r>
      <w:r>
        <w:rPr>
          <w:rFonts w:hint="default" w:ascii="宋体" w:hAnsi="宋体" w:eastAsia="宋体" w:cs="宋体"/>
          <w:sz w:val="24"/>
          <w:szCs w:val="24"/>
          <w:highlight w:val="none"/>
          <w:lang w:val="en-US" w:eastAsia="zh-CN"/>
        </w:rPr>
        <w:t>元。根据</w:t>
      </w:r>
      <w:r>
        <w:rPr>
          <w:rFonts w:hint="eastAsia" w:ascii="宋体" w:hAnsi="宋体" w:eastAsia="宋体" w:cs="宋体"/>
          <w:sz w:val="24"/>
          <w:szCs w:val="24"/>
          <w:highlight w:val="none"/>
          <w:lang w:val="en-US" w:eastAsia="zh-CN"/>
        </w:rPr>
        <w:t>《公司2021年限制性股票激励计划（草案修订稿）》，</w:t>
      </w:r>
      <w:r>
        <w:rPr>
          <w:rFonts w:hint="default" w:ascii="宋体" w:hAnsi="宋体" w:eastAsia="宋体" w:cs="宋体"/>
          <w:sz w:val="24"/>
          <w:szCs w:val="24"/>
          <w:highlight w:val="none"/>
          <w:lang w:val="en-US" w:eastAsia="zh-CN"/>
        </w:rPr>
        <w:t>公司进行现金分红时，激励对象就其获授的限制性股票应取得的现金分红在代扣代缴个人所得税后由公司代为收取，待该部分限制性股票解除限售时返还激励对象；若该部分限制性股票未能解除限售，公司在按照本计划的规定回购该部分限制性股票时应扣除代为收取的该部分现金分红，并做相应会计处理。</w:t>
      </w:r>
    </w:p>
    <w:p>
      <w:pPr>
        <w:numPr>
          <w:ilvl w:val="0"/>
          <w:numId w:val="2"/>
        </w:numPr>
        <w:spacing w:line="440" w:lineRule="exact"/>
        <w:ind w:left="0" w:leftChars="0" w:firstLine="482" w:firstLineChars="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预计本次回购注销完成后的股本结构</w:t>
      </w:r>
    </w:p>
    <w:p>
      <w:pPr>
        <w:numPr>
          <w:ilvl w:val="0"/>
          <w:numId w:val="0"/>
        </w:numPr>
        <w:spacing w:line="440" w:lineRule="exact"/>
        <w:ind w:left="0" w:leftChars="0" w:firstLine="480" w:firstLineChars="20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本次限制性股票回购注销完成后，将导致公司总股本由</w:t>
      </w:r>
      <w:r>
        <w:rPr>
          <w:rFonts w:hint="eastAsia" w:ascii="宋体" w:hAnsi="宋体" w:eastAsia="宋体" w:cs="宋体"/>
          <w:b w:val="0"/>
          <w:bCs/>
          <w:sz w:val="24"/>
          <w:szCs w:val="24"/>
          <w:highlight w:val="none"/>
          <w:lang w:val="en-US" w:eastAsia="zh-CN"/>
        </w:rPr>
        <w:t>839,146,372</w:t>
      </w:r>
      <w:r>
        <w:rPr>
          <w:rFonts w:hint="eastAsia" w:ascii="宋体" w:hAnsi="宋体" w:eastAsia="宋体" w:cs="宋体"/>
          <w:b w:val="0"/>
          <w:bCs/>
          <w:sz w:val="24"/>
          <w:szCs w:val="24"/>
          <w:lang w:val="en-US" w:eastAsia="zh-CN"/>
        </w:rPr>
        <w:t>股减少至</w:t>
      </w:r>
      <w:r>
        <w:rPr>
          <w:rFonts w:hint="eastAsia" w:ascii="宋体" w:hAnsi="宋体" w:eastAsia="宋体" w:cs="宋体"/>
          <w:color w:val="000000"/>
          <w:sz w:val="24"/>
          <w:szCs w:val="24"/>
          <w:vertAlign w:val="baseline"/>
          <w:lang w:val="en-US" w:eastAsia="zh-CN" w:bidi="ar-SA"/>
        </w:rPr>
        <w:t>832,058,923</w:t>
      </w:r>
      <w:r>
        <w:rPr>
          <w:rFonts w:hint="eastAsia" w:ascii="宋体" w:hAnsi="宋体" w:eastAsia="宋体" w:cs="宋体"/>
          <w:b w:val="0"/>
          <w:bCs/>
          <w:sz w:val="24"/>
          <w:szCs w:val="24"/>
          <w:lang w:val="en-US" w:eastAsia="zh-CN"/>
        </w:rPr>
        <w:t>股。</w:t>
      </w:r>
    </w:p>
    <w:tbl>
      <w:tblPr>
        <w:tblStyle w:val="10"/>
        <w:tblW w:w="9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4"/>
        <w:gridCol w:w="1712"/>
        <w:gridCol w:w="1050"/>
        <w:gridCol w:w="1490"/>
        <w:gridCol w:w="1660"/>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964" w:type="dxa"/>
            <w:vMerge w:val="restart"/>
            <w:noWrap w:val="0"/>
            <w:vAlign w:val="center"/>
          </w:tcPr>
          <w:p>
            <w:pPr>
              <w:keepNext w:val="0"/>
              <w:keepLines w:val="0"/>
              <w:widowControl/>
              <w:numPr>
                <w:ilvl w:val="0"/>
                <w:numId w:val="0"/>
              </w:numPr>
              <w:suppressLineNumbers w:val="0"/>
              <w:spacing w:line="240" w:lineRule="auto"/>
              <w:jc w:val="center"/>
              <w:rPr>
                <w:rFonts w:hint="eastAsia" w:ascii="宋体" w:hAnsi="宋体" w:eastAsia="宋体" w:cs="宋体"/>
                <w:color w:val="000000"/>
                <w:sz w:val="24"/>
                <w:szCs w:val="24"/>
                <w:vertAlign w:val="baseline"/>
                <w:lang w:val="en-US" w:eastAsia="zh-CN" w:bidi="ar-SA"/>
              </w:rPr>
            </w:pPr>
            <w:r>
              <w:rPr>
                <w:rFonts w:hint="eastAsia" w:ascii="宋体" w:hAnsi="宋体" w:eastAsia="宋体" w:cs="宋体"/>
                <w:color w:val="000000"/>
                <w:sz w:val="24"/>
                <w:szCs w:val="24"/>
                <w:vertAlign w:val="baseline"/>
                <w:lang w:val="en-US" w:eastAsia="zh-CN" w:bidi="ar-SA"/>
              </w:rPr>
              <w:t>股份性质</w:t>
            </w:r>
          </w:p>
        </w:tc>
        <w:tc>
          <w:tcPr>
            <w:tcW w:w="2762" w:type="dxa"/>
            <w:gridSpan w:val="2"/>
            <w:noWrap w:val="0"/>
            <w:vAlign w:val="center"/>
          </w:tcPr>
          <w:p>
            <w:pPr>
              <w:keepNext w:val="0"/>
              <w:keepLines w:val="0"/>
              <w:widowControl/>
              <w:numPr>
                <w:ilvl w:val="0"/>
                <w:numId w:val="0"/>
              </w:numPr>
              <w:suppressLineNumbers w:val="0"/>
              <w:spacing w:line="240" w:lineRule="auto"/>
              <w:jc w:val="center"/>
              <w:rPr>
                <w:rFonts w:hint="eastAsia" w:ascii="宋体" w:hAnsi="宋体" w:eastAsia="宋体" w:cs="宋体"/>
                <w:color w:val="000000"/>
                <w:sz w:val="24"/>
                <w:szCs w:val="24"/>
                <w:vertAlign w:val="baseline"/>
                <w:lang w:val="en-US" w:eastAsia="zh-CN" w:bidi="ar-SA"/>
              </w:rPr>
            </w:pPr>
            <w:r>
              <w:rPr>
                <w:rFonts w:hint="eastAsia" w:ascii="宋体" w:hAnsi="宋体" w:eastAsia="宋体" w:cs="宋体"/>
                <w:color w:val="000000"/>
                <w:sz w:val="24"/>
                <w:szCs w:val="24"/>
                <w:vertAlign w:val="baseline"/>
                <w:lang w:val="en-US" w:eastAsia="zh-CN" w:bidi="ar-SA"/>
              </w:rPr>
              <w:t>本次变动前</w:t>
            </w:r>
          </w:p>
        </w:tc>
        <w:tc>
          <w:tcPr>
            <w:tcW w:w="1490" w:type="dxa"/>
            <w:vMerge w:val="restart"/>
            <w:noWrap w:val="0"/>
            <w:vAlign w:val="center"/>
          </w:tcPr>
          <w:p>
            <w:pPr>
              <w:keepNext w:val="0"/>
              <w:keepLines w:val="0"/>
              <w:widowControl/>
              <w:numPr>
                <w:ilvl w:val="0"/>
                <w:numId w:val="0"/>
              </w:numPr>
              <w:suppressLineNumbers w:val="0"/>
              <w:spacing w:line="240" w:lineRule="auto"/>
              <w:jc w:val="center"/>
              <w:rPr>
                <w:rFonts w:hint="eastAsia" w:ascii="宋体" w:hAnsi="宋体" w:eastAsia="宋体" w:cs="宋体"/>
                <w:color w:val="000000"/>
                <w:sz w:val="24"/>
                <w:szCs w:val="24"/>
                <w:vertAlign w:val="baseline"/>
                <w:lang w:val="en-US" w:eastAsia="zh-CN" w:bidi="ar-SA"/>
              </w:rPr>
            </w:pPr>
            <w:r>
              <w:rPr>
                <w:rFonts w:hint="eastAsia" w:ascii="宋体" w:hAnsi="宋体" w:eastAsia="宋体" w:cs="宋体"/>
                <w:color w:val="000000"/>
                <w:sz w:val="24"/>
                <w:szCs w:val="24"/>
                <w:vertAlign w:val="baseline"/>
                <w:lang w:val="en-US" w:eastAsia="zh-CN" w:bidi="ar-SA"/>
              </w:rPr>
              <w:t>本次变动增减（+、-）</w:t>
            </w:r>
          </w:p>
        </w:tc>
        <w:tc>
          <w:tcPr>
            <w:tcW w:w="2960" w:type="dxa"/>
            <w:gridSpan w:val="2"/>
            <w:noWrap w:val="0"/>
            <w:vAlign w:val="center"/>
          </w:tcPr>
          <w:p>
            <w:pPr>
              <w:keepNext w:val="0"/>
              <w:keepLines w:val="0"/>
              <w:widowControl/>
              <w:numPr>
                <w:ilvl w:val="0"/>
                <w:numId w:val="0"/>
              </w:numPr>
              <w:suppressLineNumbers w:val="0"/>
              <w:spacing w:line="240" w:lineRule="auto"/>
              <w:jc w:val="center"/>
              <w:rPr>
                <w:rFonts w:hint="eastAsia" w:ascii="宋体" w:hAnsi="宋体" w:eastAsia="宋体" w:cs="宋体"/>
                <w:color w:val="000000"/>
                <w:sz w:val="24"/>
                <w:szCs w:val="24"/>
                <w:vertAlign w:val="baseline"/>
                <w:lang w:val="en-US" w:eastAsia="zh-CN" w:bidi="ar-SA"/>
              </w:rPr>
            </w:pPr>
            <w:r>
              <w:rPr>
                <w:rFonts w:hint="eastAsia" w:ascii="宋体" w:hAnsi="宋体" w:eastAsia="宋体" w:cs="宋体"/>
                <w:color w:val="000000"/>
                <w:sz w:val="24"/>
                <w:szCs w:val="24"/>
                <w:vertAlign w:val="baseline"/>
                <w:lang w:val="en-US" w:eastAsia="zh-CN" w:bidi="ar-SA"/>
              </w:rPr>
              <w:t>本次变动后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64" w:type="dxa"/>
            <w:vMerge w:val="continue"/>
            <w:noWrap w:val="0"/>
            <w:vAlign w:val="center"/>
          </w:tcPr>
          <w:p>
            <w:pPr>
              <w:keepNext w:val="0"/>
              <w:keepLines w:val="0"/>
              <w:widowControl/>
              <w:numPr>
                <w:ilvl w:val="0"/>
                <w:numId w:val="0"/>
              </w:numPr>
              <w:suppressLineNumbers w:val="0"/>
              <w:spacing w:line="240" w:lineRule="auto"/>
              <w:jc w:val="center"/>
              <w:rPr>
                <w:rFonts w:hint="eastAsia" w:ascii="宋体" w:hAnsi="宋体" w:eastAsia="宋体" w:cs="宋体"/>
                <w:color w:val="000000"/>
                <w:sz w:val="24"/>
                <w:szCs w:val="24"/>
                <w:vertAlign w:val="baseline"/>
                <w:lang w:val="en-US" w:eastAsia="zh-CN" w:bidi="ar-SA"/>
              </w:rPr>
            </w:pPr>
          </w:p>
        </w:tc>
        <w:tc>
          <w:tcPr>
            <w:tcW w:w="1712" w:type="dxa"/>
            <w:noWrap w:val="0"/>
            <w:vAlign w:val="center"/>
          </w:tcPr>
          <w:p>
            <w:pPr>
              <w:keepNext w:val="0"/>
              <w:keepLines w:val="0"/>
              <w:widowControl/>
              <w:numPr>
                <w:ilvl w:val="0"/>
                <w:numId w:val="0"/>
              </w:numPr>
              <w:suppressLineNumbers w:val="0"/>
              <w:spacing w:line="240" w:lineRule="auto"/>
              <w:jc w:val="center"/>
              <w:rPr>
                <w:rFonts w:hint="eastAsia" w:ascii="宋体" w:hAnsi="宋体" w:eastAsia="宋体" w:cs="宋体"/>
                <w:color w:val="000000"/>
                <w:sz w:val="24"/>
                <w:szCs w:val="24"/>
                <w:vertAlign w:val="baseline"/>
                <w:lang w:val="en-US" w:eastAsia="zh-CN" w:bidi="ar-SA"/>
              </w:rPr>
            </w:pPr>
            <w:r>
              <w:rPr>
                <w:rFonts w:hint="eastAsia" w:ascii="宋体" w:hAnsi="宋体" w:eastAsia="宋体" w:cs="宋体"/>
                <w:color w:val="000000"/>
                <w:sz w:val="24"/>
                <w:szCs w:val="24"/>
                <w:vertAlign w:val="baseline"/>
                <w:lang w:val="en-US" w:eastAsia="zh-CN" w:bidi="ar-SA"/>
              </w:rPr>
              <w:t>股份数量（股）</w:t>
            </w:r>
          </w:p>
        </w:tc>
        <w:tc>
          <w:tcPr>
            <w:tcW w:w="1050" w:type="dxa"/>
            <w:noWrap w:val="0"/>
            <w:vAlign w:val="center"/>
          </w:tcPr>
          <w:p>
            <w:pPr>
              <w:keepNext w:val="0"/>
              <w:keepLines w:val="0"/>
              <w:widowControl/>
              <w:numPr>
                <w:ilvl w:val="0"/>
                <w:numId w:val="0"/>
              </w:numPr>
              <w:suppressLineNumbers w:val="0"/>
              <w:spacing w:line="240" w:lineRule="auto"/>
              <w:jc w:val="center"/>
              <w:rPr>
                <w:rFonts w:hint="eastAsia" w:ascii="宋体" w:hAnsi="宋体" w:eastAsia="宋体" w:cs="宋体"/>
                <w:color w:val="000000"/>
                <w:sz w:val="24"/>
                <w:szCs w:val="24"/>
                <w:vertAlign w:val="baseline"/>
                <w:lang w:val="en-US" w:eastAsia="zh-CN" w:bidi="ar-SA"/>
              </w:rPr>
            </w:pPr>
            <w:r>
              <w:rPr>
                <w:rFonts w:hint="eastAsia" w:ascii="宋体" w:hAnsi="宋体" w:eastAsia="宋体" w:cs="宋体"/>
                <w:color w:val="000000"/>
                <w:sz w:val="24"/>
                <w:szCs w:val="24"/>
                <w:vertAlign w:val="baseline"/>
                <w:lang w:val="en-US" w:eastAsia="zh-CN" w:bidi="ar-SA"/>
              </w:rPr>
              <w:t>比例（%）</w:t>
            </w:r>
          </w:p>
        </w:tc>
        <w:tc>
          <w:tcPr>
            <w:tcW w:w="1490" w:type="dxa"/>
            <w:vMerge w:val="continue"/>
            <w:noWrap w:val="0"/>
            <w:vAlign w:val="center"/>
          </w:tcPr>
          <w:p>
            <w:pPr>
              <w:keepNext w:val="0"/>
              <w:keepLines w:val="0"/>
              <w:widowControl/>
              <w:numPr>
                <w:ilvl w:val="0"/>
                <w:numId w:val="0"/>
              </w:numPr>
              <w:suppressLineNumbers w:val="0"/>
              <w:spacing w:line="240" w:lineRule="auto"/>
              <w:jc w:val="center"/>
              <w:rPr>
                <w:rFonts w:hint="eastAsia" w:ascii="宋体" w:hAnsi="宋体" w:eastAsia="宋体" w:cs="宋体"/>
                <w:color w:val="000000"/>
                <w:sz w:val="24"/>
                <w:szCs w:val="24"/>
                <w:vertAlign w:val="baseline"/>
                <w:lang w:val="en-US" w:eastAsia="zh-CN" w:bidi="ar-SA"/>
              </w:rPr>
            </w:pPr>
          </w:p>
        </w:tc>
        <w:tc>
          <w:tcPr>
            <w:tcW w:w="1660" w:type="dxa"/>
            <w:noWrap w:val="0"/>
            <w:vAlign w:val="center"/>
          </w:tcPr>
          <w:p>
            <w:pPr>
              <w:keepNext w:val="0"/>
              <w:keepLines w:val="0"/>
              <w:widowControl/>
              <w:numPr>
                <w:ilvl w:val="0"/>
                <w:numId w:val="0"/>
              </w:numPr>
              <w:suppressLineNumbers w:val="0"/>
              <w:spacing w:line="240" w:lineRule="auto"/>
              <w:jc w:val="center"/>
              <w:rPr>
                <w:rFonts w:hint="eastAsia" w:ascii="宋体" w:hAnsi="宋体" w:eastAsia="宋体" w:cs="宋体"/>
                <w:color w:val="000000"/>
                <w:sz w:val="24"/>
                <w:szCs w:val="24"/>
                <w:vertAlign w:val="baseline"/>
                <w:lang w:val="en-US" w:eastAsia="zh-CN" w:bidi="ar-SA"/>
              </w:rPr>
            </w:pPr>
            <w:r>
              <w:rPr>
                <w:rFonts w:hint="eastAsia" w:ascii="宋体" w:hAnsi="宋体" w:eastAsia="宋体" w:cs="宋体"/>
                <w:color w:val="000000"/>
                <w:sz w:val="24"/>
                <w:szCs w:val="24"/>
                <w:vertAlign w:val="baseline"/>
                <w:lang w:val="en-US" w:eastAsia="zh-CN" w:bidi="ar-SA"/>
              </w:rPr>
              <w:t>股份数量（股）</w:t>
            </w:r>
          </w:p>
        </w:tc>
        <w:tc>
          <w:tcPr>
            <w:tcW w:w="1300" w:type="dxa"/>
            <w:noWrap w:val="0"/>
            <w:vAlign w:val="center"/>
          </w:tcPr>
          <w:p>
            <w:pPr>
              <w:keepNext w:val="0"/>
              <w:keepLines w:val="0"/>
              <w:widowControl/>
              <w:numPr>
                <w:ilvl w:val="0"/>
                <w:numId w:val="0"/>
              </w:numPr>
              <w:suppressLineNumbers w:val="0"/>
              <w:spacing w:line="240" w:lineRule="auto"/>
              <w:jc w:val="center"/>
              <w:rPr>
                <w:rFonts w:hint="eastAsia" w:ascii="宋体" w:hAnsi="宋体" w:eastAsia="宋体" w:cs="宋体"/>
                <w:color w:val="000000"/>
                <w:sz w:val="24"/>
                <w:szCs w:val="24"/>
                <w:vertAlign w:val="baseline"/>
                <w:lang w:val="en-US" w:eastAsia="zh-CN" w:bidi="ar-SA"/>
              </w:rPr>
            </w:pPr>
            <w:r>
              <w:rPr>
                <w:rFonts w:hint="eastAsia" w:ascii="宋体" w:hAnsi="宋体" w:eastAsia="宋体" w:cs="宋体"/>
                <w:color w:val="000000"/>
                <w:sz w:val="24"/>
                <w:szCs w:val="24"/>
                <w:vertAlign w:val="baseline"/>
                <w:lang w:val="en-US" w:eastAsia="zh-CN" w:bidi="ar-SA"/>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964" w:type="dxa"/>
            <w:noWrap w:val="0"/>
            <w:vAlign w:val="center"/>
          </w:tcPr>
          <w:p>
            <w:pPr>
              <w:keepNext w:val="0"/>
              <w:keepLines w:val="0"/>
              <w:widowControl/>
              <w:numPr>
                <w:ilvl w:val="0"/>
                <w:numId w:val="0"/>
              </w:numPr>
              <w:suppressLineNumbers w:val="0"/>
              <w:spacing w:line="240" w:lineRule="auto"/>
              <w:jc w:val="left"/>
              <w:rPr>
                <w:rFonts w:hint="eastAsia" w:ascii="宋体" w:hAnsi="宋体" w:eastAsia="宋体" w:cs="宋体"/>
                <w:color w:val="000000"/>
                <w:sz w:val="24"/>
                <w:szCs w:val="24"/>
                <w:vertAlign w:val="baseline"/>
                <w:lang w:val="en-US" w:eastAsia="zh-CN" w:bidi="ar-SA"/>
              </w:rPr>
            </w:pPr>
            <w:r>
              <w:rPr>
                <w:rFonts w:hint="eastAsia" w:ascii="宋体" w:hAnsi="宋体" w:eastAsia="宋体" w:cs="宋体"/>
                <w:color w:val="000000"/>
                <w:sz w:val="24"/>
                <w:szCs w:val="24"/>
                <w:vertAlign w:val="baseline"/>
                <w:lang w:val="en-US" w:eastAsia="zh-CN" w:bidi="ar-SA"/>
              </w:rPr>
              <w:t>有限售条件股份</w:t>
            </w:r>
          </w:p>
        </w:tc>
        <w:tc>
          <w:tcPr>
            <w:tcW w:w="1712" w:type="dxa"/>
            <w:noWrap w:val="0"/>
            <w:vAlign w:val="center"/>
          </w:tcPr>
          <w:p>
            <w:pPr>
              <w:keepNext w:val="0"/>
              <w:keepLines w:val="0"/>
              <w:widowControl/>
              <w:numPr>
                <w:ilvl w:val="0"/>
                <w:numId w:val="0"/>
              </w:numPr>
              <w:suppressLineNumbers w:val="0"/>
              <w:spacing w:line="240" w:lineRule="auto"/>
              <w:jc w:val="center"/>
              <w:rPr>
                <w:rFonts w:hint="default" w:ascii="宋体" w:hAnsi="宋体" w:eastAsia="宋体" w:cs="宋体"/>
                <w:color w:val="000000"/>
                <w:sz w:val="24"/>
                <w:szCs w:val="24"/>
                <w:vertAlign w:val="baseline"/>
                <w:lang w:val="en-US" w:eastAsia="zh-CN" w:bidi="ar-SA"/>
              </w:rPr>
            </w:pPr>
            <w:r>
              <w:rPr>
                <w:rFonts w:hint="eastAsia" w:ascii="宋体" w:hAnsi="宋体" w:eastAsia="宋体" w:cs="宋体"/>
                <w:color w:val="000000"/>
                <w:sz w:val="24"/>
                <w:szCs w:val="24"/>
                <w:vertAlign w:val="baseline"/>
                <w:lang w:val="en-US" w:eastAsia="zh-CN" w:bidi="ar-SA"/>
              </w:rPr>
              <w:t>109,460,725</w:t>
            </w:r>
          </w:p>
        </w:tc>
        <w:tc>
          <w:tcPr>
            <w:tcW w:w="1050" w:type="dxa"/>
            <w:noWrap w:val="0"/>
            <w:vAlign w:val="center"/>
          </w:tcPr>
          <w:p>
            <w:pPr>
              <w:keepNext w:val="0"/>
              <w:keepLines w:val="0"/>
              <w:widowControl/>
              <w:numPr>
                <w:ilvl w:val="0"/>
                <w:numId w:val="0"/>
              </w:numPr>
              <w:suppressLineNumbers w:val="0"/>
              <w:spacing w:line="240" w:lineRule="auto"/>
              <w:jc w:val="center"/>
              <w:rPr>
                <w:rFonts w:hint="default" w:ascii="宋体" w:hAnsi="宋体" w:eastAsia="宋体" w:cs="宋体"/>
                <w:color w:val="000000"/>
                <w:sz w:val="24"/>
                <w:szCs w:val="24"/>
                <w:vertAlign w:val="baseline"/>
                <w:lang w:val="en-US" w:eastAsia="zh-CN" w:bidi="ar-SA"/>
              </w:rPr>
            </w:pPr>
            <w:r>
              <w:rPr>
                <w:rFonts w:hint="eastAsia" w:ascii="宋体" w:hAnsi="宋体" w:eastAsia="宋体" w:cs="宋体"/>
                <w:color w:val="000000"/>
                <w:sz w:val="24"/>
                <w:szCs w:val="24"/>
                <w:vertAlign w:val="baseline"/>
                <w:lang w:val="en-US" w:eastAsia="zh-CN" w:bidi="ar-SA"/>
              </w:rPr>
              <w:t>13.04</w:t>
            </w:r>
          </w:p>
        </w:tc>
        <w:tc>
          <w:tcPr>
            <w:tcW w:w="1490" w:type="dxa"/>
            <w:noWrap w:val="0"/>
            <w:vAlign w:val="center"/>
          </w:tcPr>
          <w:p>
            <w:pPr>
              <w:keepNext w:val="0"/>
              <w:keepLines w:val="0"/>
              <w:widowControl/>
              <w:numPr>
                <w:ilvl w:val="0"/>
                <w:numId w:val="0"/>
              </w:numPr>
              <w:suppressLineNumbers w:val="0"/>
              <w:spacing w:line="240" w:lineRule="auto"/>
              <w:jc w:val="center"/>
              <w:rPr>
                <w:rFonts w:hint="eastAsia" w:ascii="宋体" w:hAnsi="宋体" w:eastAsia="宋体" w:cs="宋体"/>
                <w:color w:val="000000"/>
                <w:sz w:val="24"/>
                <w:szCs w:val="24"/>
                <w:vertAlign w:val="baseline"/>
                <w:lang w:val="en-US" w:eastAsia="zh-CN" w:bidi="ar-SA"/>
              </w:rPr>
            </w:pPr>
            <w:r>
              <w:rPr>
                <w:rFonts w:hint="eastAsia" w:ascii="宋体" w:hAnsi="宋体" w:eastAsia="宋体" w:cs="宋体"/>
                <w:color w:val="000000"/>
                <w:sz w:val="24"/>
                <w:szCs w:val="24"/>
                <w:vertAlign w:val="baseline"/>
                <w:lang w:val="en-US" w:eastAsia="zh-CN" w:bidi="ar-SA"/>
              </w:rPr>
              <w:t>-</w:t>
            </w:r>
            <w:r>
              <w:rPr>
                <w:rFonts w:hint="eastAsia" w:ascii="宋体" w:hAnsi="宋体" w:eastAsia="宋体" w:cs="宋体"/>
                <w:bCs/>
                <w:sz w:val="24"/>
                <w:szCs w:val="24"/>
                <w:lang w:val="en-US" w:eastAsia="zh-CN"/>
              </w:rPr>
              <w:t>7,087,449</w:t>
            </w:r>
          </w:p>
        </w:tc>
        <w:tc>
          <w:tcPr>
            <w:tcW w:w="1660" w:type="dxa"/>
            <w:noWrap w:val="0"/>
            <w:vAlign w:val="center"/>
          </w:tcPr>
          <w:p>
            <w:pPr>
              <w:keepNext w:val="0"/>
              <w:keepLines w:val="0"/>
              <w:widowControl/>
              <w:numPr>
                <w:ilvl w:val="0"/>
                <w:numId w:val="0"/>
              </w:numPr>
              <w:suppressLineNumbers w:val="0"/>
              <w:spacing w:line="240" w:lineRule="auto"/>
              <w:ind w:left="0" w:leftChars="0" w:firstLine="0" w:firstLineChars="0"/>
              <w:jc w:val="center"/>
              <w:rPr>
                <w:rFonts w:hint="default" w:ascii="宋体" w:hAnsi="宋体" w:eastAsia="宋体" w:cs="宋体"/>
                <w:color w:val="000000"/>
                <w:sz w:val="24"/>
                <w:szCs w:val="24"/>
                <w:vertAlign w:val="baseline"/>
                <w:lang w:val="en-US" w:eastAsia="zh-CN" w:bidi="ar-SA"/>
              </w:rPr>
            </w:pPr>
            <w:r>
              <w:rPr>
                <w:rFonts w:hint="eastAsia" w:ascii="宋体" w:hAnsi="宋体" w:eastAsia="宋体" w:cs="宋体"/>
                <w:color w:val="000000"/>
                <w:sz w:val="24"/>
                <w:szCs w:val="24"/>
                <w:vertAlign w:val="baseline"/>
                <w:lang w:val="en-US" w:eastAsia="zh-CN" w:bidi="ar-SA"/>
              </w:rPr>
              <w:t>102,373,276</w:t>
            </w:r>
          </w:p>
        </w:tc>
        <w:tc>
          <w:tcPr>
            <w:tcW w:w="1300" w:type="dxa"/>
            <w:noWrap w:val="0"/>
            <w:vAlign w:val="center"/>
          </w:tcPr>
          <w:p>
            <w:pPr>
              <w:keepNext w:val="0"/>
              <w:keepLines w:val="0"/>
              <w:widowControl/>
              <w:numPr>
                <w:ilvl w:val="0"/>
                <w:numId w:val="0"/>
              </w:numPr>
              <w:suppressLineNumbers w:val="0"/>
              <w:spacing w:line="240" w:lineRule="auto"/>
              <w:ind w:left="0" w:leftChars="0" w:firstLine="0" w:firstLineChars="0"/>
              <w:jc w:val="center"/>
              <w:rPr>
                <w:rFonts w:hint="default" w:ascii="宋体" w:hAnsi="宋体" w:eastAsia="宋体" w:cs="宋体"/>
                <w:color w:val="000000"/>
                <w:sz w:val="24"/>
                <w:szCs w:val="24"/>
                <w:vertAlign w:val="baseline"/>
                <w:lang w:val="en-US" w:eastAsia="zh-CN" w:bidi="ar-SA"/>
              </w:rPr>
            </w:pPr>
            <w:r>
              <w:rPr>
                <w:rFonts w:hint="eastAsia" w:ascii="宋体" w:hAnsi="宋体" w:eastAsia="宋体" w:cs="宋体"/>
                <w:color w:val="000000"/>
                <w:sz w:val="24"/>
                <w:szCs w:val="24"/>
                <w:vertAlign w:val="baseline"/>
                <w:lang w:val="en-US" w:eastAsia="zh-CN" w:bidi="ar-SA"/>
              </w:rPr>
              <w:t>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964" w:type="dxa"/>
            <w:noWrap w:val="0"/>
            <w:vAlign w:val="center"/>
          </w:tcPr>
          <w:p>
            <w:pPr>
              <w:keepNext w:val="0"/>
              <w:keepLines w:val="0"/>
              <w:widowControl/>
              <w:numPr>
                <w:ilvl w:val="0"/>
                <w:numId w:val="0"/>
              </w:numPr>
              <w:suppressLineNumbers w:val="0"/>
              <w:spacing w:line="240" w:lineRule="auto"/>
              <w:jc w:val="left"/>
              <w:rPr>
                <w:rFonts w:hint="eastAsia" w:ascii="宋体" w:hAnsi="宋体" w:eastAsia="宋体" w:cs="宋体"/>
                <w:color w:val="000000"/>
                <w:sz w:val="24"/>
                <w:szCs w:val="24"/>
                <w:vertAlign w:val="baseline"/>
                <w:lang w:val="en-US" w:eastAsia="zh-CN" w:bidi="ar-SA"/>
              </w:rPr>
            </w:pPr>
            <w:r>
              <w:rPr>
                <w:rFonts w:hint="eastAsia" w:ascii="宋体" w:hAnsi="宋体" w:eastAsia="宋体" w:cs="宋体"/>
                <w:color w:val="000000"/>
                <w:sz w:val="24"/>
                <w:szCs w:val="24"/>
                <w:vertAlign w:val="baseline"/>
                <w:lang w:val="en-US" w:eastAsia="zh-CN" w:bidi="ar-SA"/>
              </w:rPr>
              <w:t>无限售条件股份</w:t>
            </w:r>
          </w:p>
        </w:tc>
        <w:tc>
          <w:tcPr>
            <w:tcW w:w="1712" w:type="dxa"/>
            <w:noWrap w:val="0"/>
            <w:vAlign w:val="center"/>
          </w:tcPr>
          <w:p>
            <w:pPr>
              <w:keepNext w:val="0"/>
              <w:keepLines w:val="0"/>
              <w:widowControl/>
              <w:numPr>
                <w:ilvl w:val="0"/>
                <w:numId w:val="0"/>
              </w:numPr>
              <w:suppressLineNumbers w:val="0"/>
              <w:spacing w:line="240" w:lineRule="auto"/>
              <w:jc w:val="center"/>
              <w:rPr>
                <w:rFonts w:hint="eastAsia" w:ascii="宋体" w:hAnsi="宋体" w:eastAsia="宋体" w:cs="宋体"/>
                <w:color w:val="000000"/>
                <w:sz w:val="24"/>
                <w:szCs w:val="24"/>
                <w:vertAlign w:val="baseline"/>
                <w:lang w:val="en-US" w:eastAsia="zh-CN" w:bidi="ar-SA"/>
              </w:rPr>
            </w:pPr>
            <w:r>
              <w:rPr>
                <w:rFonts w:hint="eastAsia" w:ascii="宋体" w:hAnsi="宋体" w:eastAsia="宋体" w:cs="宋体"/>
                <w:color w:val="000000"/>
                <w:sz w:val="24"/>
                <w:szCs w:val="24"/>
                <w:vertAlign w:val="baseline"/>
                <w:lang w:val="en-US" w:eastAsia="zh-CN" w:bidi="ar-SA"/>
              </w:rPr>
              <w:t>729,685,647</w:t>
            </w:r>
          </w:p>
        </w:tc>
        <w:tc>
          <w:tcPr>
            <w:tcW w:w="1050" w:type="dxa"/>
            <w:noWrap w:val="0"/>
            <w:vAlign w:val="center"/>
          </w:tcPr>
          <w:p>
            <w:pPr>
              <w:keepNext w:val="0"/>
              <w:keepLines w:val="0"/>
              <w:widowControl/>
              <w:numPr>
                <w:ilvl w:val="0"/>
                <w:numId w:val="0"/>
              </w:numPr>
              <w:suppressLineNumbers w:val="0"/>
              <w:spacing w:line="240" w:lineRule="auto"/>
              <w:jc w:val="center"/>
              <w:rPr>
                <w:rFonts w:hint="default" w:ascii="宋体" w:hAnsi="宋体" w:eastAsia="宋体" w:cs="宋体"/>
                <w:color w:val="000000"/>
                <w:sz w:val="24"/>
                <w:szCs w:val="24"/>
                <w:vertAlign w:val="baseline"/>
                <w:lang w:val="en-US" w:eastAsia="zh-CN" w:bidi="ar-SA"/>
              </w:rPr>
            </w:pPr>
            <w:r>
              <w:rPr>
                <w:rFonts w:hint="eastAsia" w:ascii="宋体" w:hAnsi="宋体" w:eastAsia="宋体" w:cs="宋体"/>
                <w:color w:val="000000"/>
                <w:sz w:val="24"/>
                <w:szCs w:val="24"/>
                <w:vertAlign w:val="baseline"/>
                <w:lang w:val="en-US" w:eastAsia="zh-CN" w:bidi="ar-SA"/>
              </w:rPr>
              <w:t>86.96</w:t>
            </w:r>
          </w:p>
        </w:tc>
        <w:tc>
          <w:tcPr>
            <w:tcW w:w="1490" w:type="dxa"/>
            <w:noWrap w:val="0"/>
            <w:vAlign w:val="center"/>
          </w:tcPr>
          <w:p>
            <w:pPr>
              <w:keepNext w:val="0"/>
              <w:keepLines w:val="0"/>
              <w:widowControl/>
              <w:numPr>
                <w:ilvl w:val="0"/>
                <w:numId w:val="0"/>
              </w:numPr>
              <w:suppressLineNumbers w:val="0"/>
              <w:spacing w:line="240" w:lineRule="auto"/>
              <w:jc w:val="center"/>
              <w:rPr>
                <w:rFonts w:hint="default" w:ascii="宋体" w:hAnsi="宋体" w:eastAsia="宋体" w:cs="宋体"/>
                <w:color w:val="000000"/>
                <w:sz w:val="24"/>
                <w:szCs w:val="24"/>
                <w:vertAlign w:val="baseline"/>
                <w:lang w:val="en-US" w:eastAsia="zh-CN" w:bidi="ar-SA"/>
              </w:rPr>
            </w:pPr>
            <w:r>
              <w:rPr>
                <w:rFonts w:hint="eastAsia" w:ascii="宋体" w:hAnsi="宋体" w:eastAsia="宋体" w:cs="宋体"/>
                <w:color w:val="000000"/>
                <w:sz w:val="24"/>
                <w:szCs w:val="24"/>
                <w:vertAlign w:val="baseline"/>
                <w:lang w:val="en-US" w:eastAsia="zh-CN" w:bidi="ar-SA"/>
              </w:rPr>
              <w:t>0</w:t>
            </w:r>
          </w:p>
        </w:tc>
        <w:tc>
          <w:tcPr>
            <w:tcW w:w="1660" w:type="dxa"/>
            <w:noWrap w:val="0"/>
            <w:vAlign w:val="center"/>
          </w:tcPr>
          <w:p>
            <w:pPr>
              <w:keepNext w:val="0"/>
              <w:keepLines w:val="0"/>
              <w:widowControl/>
              <w:numPr>
                <w:ilvl w:val="0"/>
                <w:numId w:val="0"/>
              </w:numPr>
              <w:suppressLineNumbers w:val="0"/>
              <w:spacing w:line="240" w:lineRule="auto"/>
              <w:ind w:left="0" w:leftChars="0" w:firstLine="0" w:firstLineChars="0"/>
              <w:jc w:val="center"/>
              <w:rPr>
                <w:rFonts w:hint="eastAsia" w:ascii="宋体" w:hAnsi="宋体" w:eastAsia="宋体" w:cs="宋体"/>
                <w:color w:val="000000"/>
                <w:sz w:val="24"/>
                <w:szCs w:val="24"/>
                <w:vertAlign w:val="baseline"/>
                <w:lang w:val="en-US" w:eastAsia="zh-CN" w:bidi="ar-SA"/>
              </w:rPr>
            </w:pPr>
            <w:r>
              <w:rPr>
                <w:rFonts w:hint="eastAsia" w:ascii="宋体" w:hAnsi="宋体" w:eastAsia="宋体" w:cs="宋体"/>
                <w:color w:val="000000"/>
                <w:sz w:val="24"/>
                <w:szCs w:val="24"/>
                <w:vertAlign w:val="baseline"/>
                <w:lang w:val="en-US" w:eastAsia="zh-CN" w:bidi="ar-SA"/>
              </w:rPr>
              <w:t>729,685,647</w:t>
            </w:r>
          </w:p>
        </w:tc>
        <w:tc>
          <w:tcPr>
            <w:tcW w:w="1300" w:type="dxa"/>
            <w:noWrap w:val="0"/>
            <w:vAlign w:val="center"/>
          </w:tcPr>
          <w:p>
            <w:pPr>
              <w:keepNext w:val="0"/>
              <w:keepLines w:val="0"/>
              <w:widowControl/>
              <w:numPr>
                <w:ilvl w:val="0"/>
                <w:numId w:val="0"/>
              </w:numPr>
              <w:suppressLineNumbers w:val="0"/>
              <w:spacing w:line="240" w:lineRule="auto"/>
              <w:ind w:left="0" w:leftChars="0" w:firstLine="0" w:firstLineChars="0"/>
              <w:jc w:val="center"/>
              <w:rPr>
                <w:rFonts w:hint="default" w:ascii="宋体" w:hAnsi="宋体" w:eastAsia="宋体" w:cs="宋体"/>
                <w:color w:val="000000"/>
                <w:sz w:val="24"/>
                <w:szCs w:val="24"/>
                <w:vertAlign w:val="baseline"/>
                <w:lang w:val="en-US" w:eastAsia="zh-CN" w:bidi="ar-SA"/>
              </w:rPr>
            </w:pPr>
            <w:r>
              <w:rPr>
                <w:rFonts w:hint="eastAsia" w:ascii="宋体" w:hAnsi="宋体" w:eastAsia="宋体" w:cs="宋体"/>
                <w:color w:val="000000"/>
                <w:sz w:val="24"/>
                <w:szCs w:val="24"/>
                <w:vertAlign w:val="baseline"/>
                <w:lang w:val="en-US" w:eastAsia="zh-CN" w:bidi="ar-SA"/>
              </w:rPr>
              <w:t>87.70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64" w:type="dxa"/>
            <w:noWrap w:val="0"/>
            <w:vAlign w:val="center"/>
          </w:tcPr>
          <w:p>
            <w:pPr>
              <w:keepNext w:val="0"/>
              <w:keepLines w:val="0"/>
              <w:widowControl/>
              <w:numPr>
                <w:ilvl w:val="0"/>
                <w:numId w:val="0"/>
              </w:numPr>
              <w:suppressLineNumbers w:val="0"/>
              <w:spacing w:line="240" w:lineRule="auto"/>
              <w:jc w:val="left"/>
              <w:rPr>
                <w:rFonts w:hint="eastAsia" w:ascii="宋体" w:hAnsi="宋体" w:eastAsia="宋体" w:cs="宋体"/>
                <w:color w:val="000000"/>
                <w:sz w:val="24"/>
                <w:szCs w:val="24"/>
                <w:vertAlign w:val="baseline"/>
                <w:lang w:val="en-US" w:eastAsia="zh-CN" w:bidi="ar-SA"/>
              </w:rPr>
            </w:pPr>
            <w:r>
              <w:rPr>
                <w:rFonts w:hint="eastAsia" w:ascii="宋体" w:hAnsi="宋体" w:eastAsia="宋体" w:cs="宋体"/>
                <w:color w:val="000000"/>
                <w:sz w:val="24"/>
                <w:szCs w:val="24"/>
                <w:vertAlign w:val="baseline"/>
                <w:lang w:val="en-US" w:eastAsia="zh-CN" w:bidi="ar-SA"/>
              </w:rPr>
              <w:t>股份总数</w:t>
            </w:r>
          </w:p>
        </w:tc>
        <w:tc>
          <w:tcPr>
            <w:tcW w:w="1712" w:type="dxa"/>
            <w:noWrap w:val="0"/>
            <w:vAlign w:val="center"/>
          </w:tcPr>
          <w:p>
            <w:pPr>
              <w:keepNext w:val="0"/>
              <w:keepLines w:val="0"/>
              <w:widowControl/>
              <w:numPr>
                <w:ilvl w:val="0"/>
                <w:numId w:val="0"/>
              </w:numPr>
              <w:suppressLineNumbers w:val="0"/>
              <w:spacing w:line="240" w:lineRule="auto"/>
              <w:jc w:val="center"/>
              <w:rPr>
                <w:rFonts w:hint="default" w:ascii="宋体" w:hAnsi="宋体" w:eastAsia="宋体" w:cs="宋体"/>
                <w:color w:val="000000"/>
                <w:sz w:val="24"/>
                <w:szCs w:val="24"/>
                <w:vertAlign w:val="baseline"/>
                <w:lang w:val="en-US" w:eastAsia="zh-CN" w:bidi="ar-SA"/>
              </w:rPr>
            </w:pPr>
            <w:r>
              <w:rPr>
                <w:rFonts w:hint="eastAsia" w:ascii="宋体" w:hAnsi="宋体" w:eastAsia="宋体" w:cs="宋体"/>
                <w:b w:val="0"/>
                <w:bCs/>
                <w:sz w:val="24"/>
                <w:szCs w:val="24"/>
                <w:highlight w:val="none"/>
                <w:lang w:val="en-US" w:eastAsia="zh-CN"/>
              </w:rPr>
              <w:t>839,146,372</w:t>
            </w:r>
          </w:p>
        </w:tc>
        <w:tc>
          <w:tcPr>
            <w:tcW w:w="1050" w:type="dxa"/>
            <w:noWrap w:val="0"/>
            <w:vAlign w:val="center"/>
          </w:tcPr>
          <w:p>
            <w:pPr>
              <w:keepNext w:val="0"/>
              <w:keepLines w:val="0"/>
              <w:widowControl/>
              <w:numPr>
                <w:ilvl w:val="0"/>
                <w:numId w:val="0"/>
              </w:numPr>
              <w:suppressLineNumbers w:val="0"/>
              <w:spacing w:line="240" w:lineRule="auto"/>
              <w:jc w:val="center"/>
              <w:rPr>
                <w:rFonts w:hint="default" w:ascii="宋体" w:hAnsi="宋体" w:eastAsia="宋体" w:cs="宋体"/>
                <w:color w:val="000000"/>
                <w:sz w:val="24"/>
                <w:szCs w:val="24"/>
                <w:vertAlign w:val="baseline"/>
                <w:lang w:val="en-US" w:eastAsia="zh-CN" w:bidi="ar-SA"/>
              </w:rPr>
            </w:pPr>
            <w:r>
              <w:rPr>
                <w:rFonts w:hint="eastAsia" w:ascii="宋体" w:hAnsi="宋体" w:eastAsia="宋体" w:cs="宋体"/>
                <w:color w:val="000000"/>
                <w:sz w:val="24"/>
                <w:szCs w:val="24"/>
                <w:vertAlign w:val="baseline"/>
                <w:lang w:val="en-US" w:eastAsia="zh-CN" w:bidi="ar-SA"/>
              </w:rPr>
              <w:t>100</w:t>
            </w:r>
          </w:p>
        </w:tc>
        <w:tc>
          <w:tcPr>
            <w:tcW w:w="1490" w:type="dxa"/>
            <w:noWrap w:val="0"/>
            <w:vAlign w:val="center"/>
          </w:tcPr>
          <w:p>
            <w:pPr>
              <w:keepNext w:val="0"/>
              <w:keepLines w:val="0"/>
              <w:widowControl/>
              <w:numPr>
                <w:ilvl w:val="0"/>
                <w:numId w:val="0"/>
              </w:numPr>
              <w:suppressLineNumbers w:val="0"/>
              <w:spacing w:line="240" w:lineRule="auto"/>
              <w:jc w:val="center"/>
              <w:rPr>
                <w:rFonts w:hint="eastAsia" w:ascii="宋体" w:hAnsi="宋体" w:eastAsia="宋体" w:cs="宋体"/>
                <w:color w:val="000000"/>
                <w:sz w:val="24"/>
                <w:szCs w:val="24"/>
                <w:vertAlign w:val="baseline"/>
                <w:lang w:val="en-US" w:eastAsia="zh-CN" w:bidi="ar-SA"/>
              </w:rPr>
            </w:pPr>
            <w:r>
              <w:rPr>
                <w:rFonts w:hint="eastAsia" w:ascii="宋体" w:hAnsi="宋体" w:eastAsia="宋体" w:cs="宋体"/>
                <w:bCs/>
                <w:sz w:val="24"/>
                <w:szCs w:val="24"/>
                <w:lang w:val="en-US" w:eastAsia="zh-CN"/>
              </w:rPr>
              <w:t>-7,087,449</w:t>
            </w:r>
          </w:p>
        </w:tc>
        <w:tc>
          <w:tcPr>
            <w:tcW w:w="1660" w:type="dxa"/>
            <w:noWrap w:val="0"/>
            <w:vAlign w:val="center"/>
          </w:tcPr>
          <w:p>
            <w:pPr>
              <w:keepNext w:val="0"/>
              <w:keepLines w:val="0"/>
              <w:widowControl/>
              <w:numPr>
                <w:ilvl w:val="0"/>
                <w:numId w:val="0"/>
              </w:numPr>
              <w:suppressLineNumbers w:val="0"/>
              <w:spacing w:line="240" w:lineRule="auto"/>
              <w:ind w:left="0" w:leftChars="0" w:firstLine="0" w:firstLineChars="0"/>
              <w:jc w:val="center"/>
              <w:rPr>
                <w:rFonts w:hint="default" w:ascii="宋体" w:hAnsi="宋体" w:eastAsia="宋体" w:cs="宋体"/>
                <w:color w:val="000000"/>
                <w:sz w:val="24"/>
                <w:szCs w:val="24"/>
                <w:vertAlign w:val="baseline"/>
                <w:lang w:val="en-US" w:eastAsia="zh-CN" w:bidi="ar-SA"/>
              </w:rPr>
            </w:pPr>
            <w:r>
              <w:rPr>
                <w:rFonts w:hint="eastAsia" w:ascii="宋体" w:hAnsi="宋体" w:eastAsia="宋体" w:cs="宋体"/>
                <w:color w:val="000000"/>
                <w:sz w:val="24"/>
                <w:szCs w:val="24"/>
                <w:vertAlign w:val="baseline"/>
                <w:lang w:val="en-US" w:eastAsia="zh-CN" w:bidi="ar-SA"/>
              </w:rPr>
              <w:t>832,058,923</w:t>
            </w:r>
          </w:p>
        </w:tc>
        <w:tc>
          <w:tcPr>
            <w:tcW w:w="1300" w:type="dxa"/>
            <w:noWrap w:val="0"/>
            <w:vAlign w:val="center"/>
          </w:tcPr>
          <w:p>
            <w:pPr>
              <w:keepNext w:val="0"/>
              <w:keepLines w:val="0"/>
              <w:widowControl/>
              <w:numPr>
                <w:ilvl w:val="0"/>
                <w:numId w:val="0"/>
              </w:numPr>
              <w:suppressLineNumbers w:val="0"/>
              <w:spacing w:line="240" w:lineRule="auto"/>
              <w:ind w:left="0" w:leftChars="0" w:firstLine="0" w:firstLineChars="0"/>
              <w:jc w:val="center"/>
              <w:rPr>
                <w:rFonts w:hint="default" w:ascii="宋体" w:hAnsi="宋体" w:eastAsia="宋体" w:cs="宋体"/>
                <w:color w:val="000000"/>
                <w:sz w:val="24"/>
                <w:szCs w:val="24"/>
                <w:vertAlign w:val="baseline"/>
                <w:lang w:val="en-US" w:eastAsia="zh-CN" w:bidi="ar-SA"/>
              </w:rPr>
            </w:pPr>
            <w:r>
              <w:rPr>
                <w:rFonts w:hint="eastAsia" w:ascii="宋体" w:hAnsi="宋体" w:eastAsia="宋体" w:cs="宋体"/>
                <w:color w:val="000000"/>
                <w:sz w:val="24"/>
                <w:szCs w:val="24"/>
                <w:vertAlign w:val="baseline"/>
                <w:lang w:val="en-US" w:eastAsia="zh-CN" w:bidi="ar-SA"/>
              </w:rPr>
              <w:t>100</w:t>
            </w:r>
          </w:p>
        </w:tc>
      </w:tr>
    </w:tbl>
    <w:p>
      <w:pPr>
        <w:numPr>
          <w:ilvl w:val="0"/>
          <w:numId w:val="2"/>
        </w:numPr>
        <w:spacing w:line="440" w:lineRule="exact"/>
        <w:ind w:left="0" w:leftChars="0" w:firstLine="482" w:firstLineChars="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对公司业绩的影响</w:t>
      </w:r>
    </w:p>
    <w:p>
      <w:pPr>
        <w:numPr>
          <w:ilvl w:val="0"/>
          <w:numId w:val="0"/>
        </w:numPr>
        <w:spacing w:line="440" w:lineRule="exact"/>
        <w:ind w:left="0" w:leftChars="0" w:firstLine="480" w:firstLineChars="200"/>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本次回购注销限制性股票事项不影响2021年限制性股票激励计划的继续实施；公司将按照《企业会计准则》的相关规定，因本次回购注销限制性股票事项而失效的权益数量将根据授予日确定的公允价值进行年度费用摊销的调整，最终股份支付费用对公司净利润的影响以会计师事务所出具的审计报告为准；本次回购注销部分限制性股票事项不会对公司的财务状况和经营成果产生实质性影响，也不会影响公司管理团队的勤勉尽职。公司管理团队将继续认真履行工作职责，尽力为股东创造价值。</w:t>
      </w:r>
    </w:p>
    <w:p>
      <w:pPr>
        <w:numPr>
          <w:ilvl w:val="0"/>
          <w:numId w:val="2"/>
        </w:numPr>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lang w:val="en-US" w:eastAsia="zh-CN"/>
        </w:rPr>
        <w:t>董事会薪酬与考核委员会意见</w:t>
      </w:r>
    </w:p>
    <w:p>
      <w:pPr>
        <w:numPr>
          <w:ilvl w:val="0"/>
          <w:numId w:val="0"/>
        </w:numPr>
        <w:spacing w:line="440" w:lineRule="exact"/>
        <w:ind w:firstLine="480" w:firstLineChars="200"/>
        <w:jc w:val="left"/>
        <w:rPr>
          <w:rFonts w:hint="eastAsia" w:ascii="宋体" w:hAnsi="宋体" w:eastAsia="宋体" w:cs="宋体"/>
          <w:b w:val="0"/>
          <w:bCs/>
          <w:sz w:val="24"/>
          <w:szCs w:val="24"/>
        </w:rPr>
      </w:pPr>
      <w:r>
        <w:rPr>
          <w:rFonts w:hint="eastAsia" w:ascii="宋体" w:hAnsi="宋体" w:eastAsia="宋体" w:cs="宋体"/>
          <w:b w:val="0"/>
          <w:bCs/>
          <w:sz w:val="24"/>
          <w:szCs w:val="24"/>
        </w:rPr>
        <w:t>董事会薪酬与考核委员会认为：本次回购注销部分限制性股票的行为符合《公司法》、《证券法》、《管理办法》等有关法律、法规、规范性文件和公司《激励计划》的相关规定，未损害公司及全体股东的权益，不会对公司的财务状况和经营成果产生实质性影响，也不会影响公司管理团队的勤勉尽职，同意</w:t>
      </w:r>
      <w:r>
        <w:rPr>
          <w:rFonts w:hint="eastAsia" w:ascii="宋体" w:hAnsi="宋体" w:eastAsia="宋体" w:cs="宋体"/>
          <w:b w:val="0"/>
          <w:bCs/>
          <w:sz w:val="24"/>
          <w:szCs w:val="24"/>
          <w:lang w:val="en-US" w:eastAsia="zh-CN"/>
        </w:rPr>
        <w:t>提交公司董事会</w:t>
      </w:r>
      <w:r>
        <w:rPr>
          <w:rFonts w:hint="eastAsia" w:ascii="宋体" w:hAnsi="宋体" w:eastAsia="宋体" w:cs="宋体"/>
          <w:b w:val="0"/>
          <w:bCs/>
          <w:sz w:val="24"/>
          <w:szCs w:val="24"/>
        </w:rPr>
        <w:t>审议。</w:t>
      </w:r>
    </w:p>
    <w:p>
      <w:pPr>
        <w:numPr>
          <w:ilvl w:val="0"/>
          <w:numId w:val="2"/>
        </w:numPr>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监事会意见</w:t>
      </w:r>
    </w:p>
    <w:p>
      <w:pPr>
        <w:spacing w:line="44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rPr>
        <w:t>监事会已对拟回购注销事项的人员名单和数量进行了审核，本次回购注销的内容及程序符合《上市公司股权激励管理办法》等法律法规及《公司2021年限制性股票激励计划（草案修订稿）》等规定，同意回购注销该部分已授予但尚未解锁的限制性股票</w:t>
      </w:r>
      <w:r>
        <w:rPr>
          <w:rFonts w:hint="eastAsia" w:ascii="宋体" w:hAnsi="宋体" w:eastAsia="宋体" w:cs="宋体"/>
          <w:spacing w:val="-3"/>
          <w:sz w:val="24"/>
          <w:szCs w:val="24"/>
          <w:highlight w:val="none"/>
        </w:rPr>
        <w:t>。</w:t>
      </w:r>
    </w:p>
    <w:p>
      <w:pPr>
        <w:numPr>
          <w:ilvl w:val="0"/>
          <w:numId w:val="2"/>
        </w:numPr>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lang w:val="en-US" w:eastAsia="zh-CN"/>
        </w:rPr>
        <w:t>律师</w:t>
      </w:r>
      <w:r>
        <w:rPr>
          <w:rFonts w:hint="eastAsia" w:ascii="宋体" w:hAnsi="宋体" w:eastAsia="宋体" w:cs="宋体"/>
          <w:b/>
          <w:sz w:val="24"/>
          <w:szCs w:val="24"/>
        </w:rPr>
        <w:t>法律意见</w:t>
      </w:r>
    </w:p>
    <w:p>
      <w:pPr>
        <w:spacing w:line="440" w:lineRule="exact"/>
        <w:ind w:firstLine="483"/>
        <w:rPr>
          <w:rFonts w:hint="eastAsia" w:ascii="宋体" w:hAnsi="宋体" w:cs="宋体" w:eastAsiaTheme="minorEastAsia"/>
          <w:sz w:val="24"/>
          <w:szCs w:val="24"/>
          <w:lang w:eastAsia="zh-CN"/>
        </w:rPr>
      </w:pPr>
      <w:r>
        <w:rPr>
          <w:rFonts w:hint="eastAsia" w:ascii="宋体" w:hAnsi="宋体" w:eastAsia="宋体" w:cs="宋体"/>
          <w:spacing w:val="4"/>
          <w:sz w:val="24"/>
          <w:szCs w:val="24"/>
        </w:rPr>
        <w:t>公司聘请的浙江天册律师事务所对本次激励计划调整及授予相关事</w:t>
      </w:r>
      <w:r>
        <w:rPr>
          <w:rFonts w:hint="eastAsia" w:ascii="宋体" w:hAnsi="宋体" w:eastAsia="宋体" w:cs="宋体"/>
          <w:spacing w:val="-4"/>
          <w:sz w:val="24"/>
          <w:szCs w:val="24"/>
        </w:rPr>
        <w:t>项出具法律意见，浙江天册律师事务所认为：</w:t>
      </w:r>
      <w:bookmarkStart w:id="0" w:name="_GoBack"/>
      <w:bookmarkEnd w:id="0"/>
      <w:r>
        <w:rPr>
          <w:rFonts w:hint="eastAsia"/>
          <w:kern w:val="0"/>
          <w:sz w:val="24"/>
        </w:rPr>
        <w:t>本次回购已取得了现阶段必要的批准和授权，且已履行了</w:t>
      </w:r>
      <w:r>
        <w:rPr>
          <w:rFonts w:hint="eastAsia"/>
          <w:color w:val="000000"/>
          <w:kern w:val="0"/>
          <w:sz w:val="24"/>
        </w:rPr>
        <w:t>现阶段必要的程序；</w:t>
      </w:r>
      <w:r>
        <w:rPr>
          <w:rFonts w:hint="eastAsia"/>
          <w:kern w:val="0"/>
          <w:sz w:val="24"/>
        </w:rPr>
        <w:t>公司本次回购的事由、数量和回购价格符合《公司法》《证券法》《管理办法》等有关</w:t>
      </w:r>
      <w:r>
        <w:rPr>
          <w:rFonts w:hint="eastAsia"/>
          <w:kern w:val="0"/>
          <w:sz w:val="24"/>
          <w:lang w:eastAsia="zh-CN"/>
        </w:rPr>
        <w:t>法律法规</w:t>
      </w:r>
      <w:r>
        <w:rPr>
          <w:rFonts w:hint="eastAsia"/>
          <w:kern w:val="0"/>
          <w:sz w:val="24"/>
        </w:rPr>
        <w:t>、规范性文件及《公司章程》《激励计划（草案修订稿）》等相关规定；公司尚需就本次回购所引致的公司减少注册资本履行减资、股份注销登记等相关法定程序</w:t>
      </w:r>
      <w:r>
        <w:rPr>
          <w:rFonts w:hint="eastAsia"/>
          <w:kern w:val="0"/>
          <w:sz w:val="24"/>
          <w:lang w:eastAsia="zh-CN"/>
        </w:rPr>
        <w:t>。</w:t>
      </w:r>
    </w:p>
    <w:p>
      <w:pPr>
        <w:numPr>
          <w:ilvl w:val="0"/>
          <w:numId w:val="2"/>
        </w:numPr>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备查文件</w:t>
      </w:r>
    </w:p>
    <w:p>
      <w:pPr>
        <w:spacing w:line="440" w:lineRule="exact"/>
        <w:ind w:firstLine="461"/>
        <w:rPr>
          <w:rFonts w:hint="eastAsia" w:ascii="宋体" w:hAnsi="宋体" w:eastAsia="宋体" w:cs="宋体"/>
          <w:sz w:val="24"/>
          <w:szCs w:val="24"/>
        </w:rPr>
      </w:pPr>
      <w:r>
        <w:rPr>
          <w:rFonts w:hint="eastAsia" w:ascii="宋体" w:hAnsi="宋体" w:eastAsia="宋体" w:cs="宋体"/>
          <w:spacing w:val="-5"/>
          <w:sz w:val="24"/>
          <w:szCs w:val="24"/>
        </w:rPr>
        <w:t>1、第</w:t>
      </w:r>
      <w:r>
        <w:rPr>
          <w:rFonts w:hint="eastAsia" w:ascii="宋体" w:hAnsi="宋体" w:eastAsia="宋体" w:cs="宋体"/>
          <w:spacing w:val="-5"/>
          <w:sz w:val="24"/>
          <w:szCs w:val="24"/>
          <w:lang w:val="en-US" w:eastAsia="zh-CN"/>
        </w:rPr>
        <w:t>八</w:t>
      </w:r>
      <w:r>
        <w:rPr>
          <w:rFonts w:hint="eastAsia" w:ascii="宋体" w:hAnsi="宋体" w:eastAsia="宋体" w:cs="宋体"/>
          <w:spacing w:val="-5"/>
          <w:sz w:val="24"/>
          <w:szCs w:val="24"/>
        </w:rPr>
        <w:t>届董事会第</w:t>
      </w:r>
      <w:r>
        <w:rPr>
          <w:rFonts w:hint="eastAsia" w:ascii="宋体" w:hAnsi="宋体" w:eastAsia="宋体" w:cs="宋体"/>
          <w:spacing w:val="-5"/>
          <w:sz w:val="24"/>
          <w:szCs w:val="24"/>
          <w:lang w:val="en-US" w:eastAsia="zh-CN"/>
        </w:rPr>
        <w:t>八</w:t>
      </w:r>
      <w:r>
        <w:rPr>
          <w:rFonts w:hint="eastAsia" w:ascii="宋体" w:hAnsi="宋体" w:eastAsia="宋体" w:cs="宋体"/>
          <w:spacing w:val="-5"/>
          <w:sz w:val="24"/>
          <w:szCs w:val="24"/>
        </w:rPr>
        <w:t>次会议决议；</w:t>
      </w:r>
    </w:p>
    <w:p>
      <w:pPr>
        <w:spacing w:line="440" w:lineRule="exact"/>
        <w:ind w:firstLine="446"/>
        <w:rPr>
          <w:rFonts w:hint="eastAsia" w:ascii="宋体" w:hAnsi="宋体" w:eastAsia="宋体" w:cs="宋体"/>
          <w:spacing w:val="-4"/>
          <w:sz w:val="24"/>
          <w:szCs w:val="24"/>
        </w:rPr>
      </w:pPr>
      <w:r>
        <w:rPr>
          <w:rFonts w:hint="eastAsia" w:ascii="宋体" w:hAnsi="宋体" w:eastAsia="宋体" w:cs="宋体"/>
          <w:spacing w:val="-4"/>
          <w:sz w:val="24"/>
          <w:szCs w:val="24"/>
        </w:rPr>
        <w:t>2、第</w:t>
      </w:r>
      <w:r>
        <w:rPr>
          <w:rFonts w:hint="eastAsia" w:ascii="宋体" w:hAnsi="宋体" w:eastAsia="宋体" w:cs="宋体"/>
          <w:spacing w:val="-4"/>
          <w:sz w:val="24"/>
          <w:szCs w:val="24"/>
          <w:lang w:val="en-US" w:eastAsia="zh-CN"/>
        </w:rPr>
        <w:t>八</w:t>
      </w:r>
      <w:r>
        <w:rPr>
          <w:rFonts w:hint="eastAsia" w:ascii="宋体" w:hAnsi="宋体" w:eastAsia="宋体" w:cs="宋体"/>
          <w:spacing w:val="-4"/>
          <w:sz w:val="24"/>
          <w:szCs w:val="24"/>
        </w:rPr>
        <w:t>届监事会第</w:t>
      </w:r>
      <w:r>
        <w:rPr>
          <w:rFonts w:hint="eastAsia" w:ascii="宋体" w:hAnsi="宋体" w:eastAsia="宋体" w:cs="宋体"/>
          <w:spacing w:val="-4"/>
          <w:sz w:val="24"/>
          <w:szCs w:val="24"/>
          <w:lang w:val="en-US" w:eastAsia="zh-CN"/>
        </w:rPr>
        <w:t>五</w:t>
      </w:r>
      <w:r>
        <w:rPr>
          <w:rFonts w:hint="eastAsia" w:ascii="宋体" w:hAnsi="宋体" w:eastAsia="宋体" w:cs="宋体"/>
          <w:spacing w:val="-4"/>
          <w:sz w:val="24"/>
          <w:szCs w:val="24"/>
        </w:rPr>
        <w:t>次会议决议；</w:t>
      </w:r>
    </w:p>
    <w:p>
      <w:pPr>
        <w:spacing w:line="440" w:lineRule="exact"/>
        <w:ind w:firstLine="446"/>
        <w:rPr>
          <w:rFonts w:hint="eastAsia" w:ascii="宋体" w:hAnsi="宋体" w:eastAsia="宋体" w:cs="宋体"/>
          <w:spacing w:val="-4"/>
          <w:sz w:val="24"/>
          <w:szCs w:val="24"/>
          <w:lang w:val="en-US" w:eastAsia="zh-CN"/>
        </w:rPr>
      </w:pPr>
      <w:r>
        <w:rPr>
          <w:rFonts w:hint="eastAsia" w:ascii="宋体" w:hAnsi="宋体" w:eastAsia="宋体" w:cs="宋体"/>
          <w:spacing w:val="-4"/>
          <w:sz w:val="24"/>
          <w:szCs w:val="24"/>
          <w:lang w:val="en-US" w:eastAsia="zh-CN"/>
        </w:rPr>
        <w:t>3、第八届薪酬与考核委员会2024年第一次会议决议；</w:t>
      </w:r>
    </w:p>
    <w:p>
      <w:pPr>
        <w:spacing w:line="440" w:lineRule="exact"/>
        <w:ind w:firstLine="448" w:firstLineChars="0"/>
        <w:rPr>
          <w:rFonts w:hint="eastAsia" w:ascii="宋体" w:hAnsi="宋体" w:eastAsia="宋体" w:cs="宋体"/>
          <w:spacing w:val="-4"/>
          <w:sz w:val="24"/>
          <w:szCs w:val="24"/>
        </w:rPr>
      </w:pPr>
      <w:r>
        <w:rPr>
          <w:rFonts w:hint="eastAsia" w:ascii="宋体" w:hAnsi="宋体" w:eastAsia="宋体" w:cs="宋体"/>
          <w:bCs/>
          <w:sz w:val="24"/>
          <w:szCs w:val="24"/>
          <w:lang w:val="en-US" w:eastAsia="zh-CN"/>
        </w:rPr>
        <w:t>4</w:t>
      </w:r>
      <w:r>
        <w:rPr>
          <w:rFonts w:hint="eastAsia" w:ascii="宋体" w:hAnsi="宋体" w:eastAsia="宋体" w:cs="宋体"/>
          <w:bCs/>
          <w:sz w:val="24"/>
          <w:szCs w:val="24"/>
        </w:rPr>
        <w:t>、</w:t>
      </w:r>
      <w:r>
        <w:rPr>
          <w:rFonts w:hint="eastAsia" w:ascii="宋体" w:hAnsi="宋体" w:eastAsia="宋体" w:cs="宋体"/>
          <w:spacing w:val="-4"/>
          <w:sz w:val="24"/>
          <w:szCs w:val="24"/>
        </w:rPr>
        <w:t>浙江天册律师事务所关于德华兔宝宝装饰新材股份有限公司2021年限制性股票激励计划回购注销部分已授予限制性股票之法律意见书。</w:t>
      </w:r>
    </w:p>
    <w:p>
      <w:pPr>
        <w:spacing w:line="440" w:lineRule="exact"/>
        <w:ind w:firstLine="464" w:firstLineChars="200"/>
        <w:rPr>
          <w:rFonts w:hint="eastAsia" w:ascii="宋体" w:hAnsi="宋体" w:eastAsia="宋体" w:cs="宋体"/>
          <w:spacing w:val="-4"/>
          <w:sz w:val="24"/>
          <w:szCs w:val="24"/>
        </w:rPr>
      </w:pPr>
    </w:p>
    <w:p>
      <w:pPr>
        <w:spacing w:line="440" w:lineRule="exact"/>
        <w:ind w:firstLine="464" w:firstLineChars="200"/>
        <w:rPr>
          <w:rFonts w:hint="eastAsia" w:ascii="宋体" w:hAnsi="宋体" w:eastAsia="宋体" w:cs="宋体"/>
          <w:spacing w:val="-4"/>
          <w:sz w:val="24"/>
          <w:szCs w:val="24"/>
        </w:rPr>
      </w:pPr>
    </w:p>
    <w:p>
      <w:pPr>
        <w:spacing w:line="440" w:lineRule="exact"/>
        <w:ind w:firstLine="464" w:firstLineChars="200"/>
        <w:rPr>
          <w:rFonts w:hint="eastAsia" w:ascii="宋体" w:hAnsi="宋体" w:eastAsia="宋体" w:cs="宋体"/>
          <w:spacing w:val="-4"/>
          <w:sz w:val="24"/>
          <w:szCs w:val="24"/>
        </w:rPr>
      </w:pPr>
      <w:r>
        <w:rPr>
          <w:rFonts w:hint="eastAsia" w:ascii="宋体" w:hAnsi="宋体" w:eastAsia="宋体" w:cs="宋体"/>
          <w:spacing w:val="-4"/>
          <w:sz w:val="24"/>
          <w:szCs w:val="24"/>
        </w:rPr>
        <w:t>特此公告。</w:t>
      </w:r>
    </w:p>
    <w:p>
      <w:pPr>
        <w:spacing w:line="440" w:lineRule="exact"/>
        <w:ind w:firstLine="464" w:firstLineChars="200"/>
        <w:rPr>
          <w:rFonts w:hint="eastAsia" w:ascii="宋体" w:hAnsi="宋体" w:eastAsia="宋体" w:cs="宋体"/>
          <w:spacing w:val="-4"/>
          <w:sz w:val="24"/>
          <w:szCs w:val="24"/>
        </w:rPr>
      </w:pPr>
    </w:p>
    <w:p>
      <w:pPr>
        <w:spacing w:line="440" w:lineRule="exact"/>
        <w:ind w:firstLine="480" w:firstLineChars="200"/>
        <w:jc w:val="center"/>
        <w:rPr>
          <w:rFonts w:hint="eastAsia" w:ascii="宋体" w:hAnsi="宋体" w:eastAsia="宋体" w:cs="宋体"/>
          <w:bCs/>
          <w:sz w:val="24"/>
        </w:rPr>
      </w:pPr>
      <w:r>
        <w:rPr>
          <w:rFonts w:hint="eastAsia" w:ascii="宋体" w:hAnsi="宋体" w:eastAsia="宋体" w:cs="宋体"/>
          <w:bCs/>
          <w:sz w:val="24"/>
        </w:rPr>
        <w:t xml:space="preserve">                                   德华兔宝宝装饰新材股份有限公司</w:t>
      </w:r>
    </w:p>
    <w:p>
      <w:pPr>
        <w:spacing w:line="440" w:lineRule="exact"/>
        <w:ind w:firstLine="480" w:firstLineChars="200"/>
        <w:jc w:val="center"/>
        <w:rPr>
          <w:rFonts w:hint="eastAsia" w:ascii="宋体" w:hAnsi="宋体" w:eastAsia="宋体" w:cs="宋体"/>
          <w:bCs/>
          <w:sz w:val="24"/>
        </w:rPr>
      </w:pPr>
      <w:r>
        <w:rPr>
          <w:rFonts w:hint="eastAsia" w:ascii="宋体" w:hAnsi="宋体" w:eastAsia="宋体" w:cs="宋体"/>
          <w:bCs/>
          <w:sz w:val="24"/>
        </w:rPr>
        <w:t xml:space="preserve">                                   董 事 会</w:t>
      </w:r>
    </w:p>
    <w:p>
      <w:pPr>
        <w:spacing w:line="440" w:lineRule="exact"/>
        <w:ind w:firstLine="480" w:firstLineChars="200"/>
        <w:jc w:val="center"/>
        <w:rPr>
          <w:rFonts w:hint="eastAsia" w:ascii="宋体" w:hAnsi="宋体" w:eastAsia="宋体" w:cs="宋体"/>
          <w:bCs/>
          <w:sz w:val="24"/>
          <w:highlight w:val="none"/>
        </w:rPr>
      </w:pPr>
      <w:r>
        <w:rPr>
          <w:rFonts w:hint="eastAsia" w:ascii="宋体" w:hAnsi="宋体" w:eastAsia="宋体" w:cs="宋体"/>
          <w:bCs/>
          <w:sz w:val="24"/>
        </w:rPr>
        <w:t xml:space="preserve">                                </w:t>
      </w:r>
      <w:r>
        <w:rPr>
          <w:rFonts w:hint="eastAsia" w:ascii="宋体" w:hAnsi="宋体" w:eastAsia="宋体" w:cs="宋体"/>
          <w:bCs/>
          <w:sz w:val="24"/>
          <w:highlight w:val="none"/>
        </w:rPr>
        <w:t xml:space="preserve"> </w:t>
      </w:r>
      <w:r>
        <w:rPr>
          <w:rFonts w:hint="eastAsia" w:ascii="宋体" w:hAnsi="宋体" w:eastAsia="宋体" w:cs="宋体"/>
          <w:bCs/>
          <w:sz w:val="24"/>
          <w:highlight w:val="none"/>
          <w:lang w:val="en-US" w:eastAsia="zh-CN"/>
        </w:rPr>
        <w:t xml:space="preserve">  </w:t>
      </w:r>
      <w:r>
        <w:rPr>
          <w:rFonts w:hint="eastAsia" w:ascii="宋体" w:hAnsi="宋体" w:eastAsia="宋体" w:cs="宋体"/>
          <w:bCs/>
          <w:sz w:val="24"/>
          <w:highlight w:val="none"/>
        </w:rPr>
        <w:t xml:space="preserve"> </w:t>
      </w:r>
      <w:r>
        <w:rPr>
          <w:rFonts w:hint="eastAsia" w:ascii="宋体" w:hAnsi="宋体" w:eastAsia="宋体" w:cs="宋体"/>
          <w:bCs/>
          <w:sz w:val="24"/>
          <w:highlight w:val="none"/>
          <w:lang w:val="en-US" w:eastAsia="zh-CN"/>
        </w:rPr>
        <w:t>2024</w:t>
      </w:r>
      <w:r>
        <w:rPr>
          <w:rFonts w:hint="eastAsia" w:ascii="宋体" w:hAnsi="宋体" w:eastAsia="宋体" w:cs="宋体"/>
          <w:bCs/>
          <w:sz w:val="24"/>
          <w:highlight w:val="none"/>
        </w:rPr>
        <w:t>年</w:t>
      </w:r>
      <w:r>
        <w:rPr>
          <w:rFonts w:hint="eastAsia" w:ascii="宋体" w:hAnsi="宋体" w:eastAsia="宋体" w:cs="宋体"/>
          <w:bCs/>
          <w:sz w:val="24"/>
          <w:highlight w:val="none"/>
          <w:lang w:val="en-US" w:eastAsia="zh-CN"/>
        </w:rPr>
        <w:t>4</w:t>
      </w:r>
      <w:r>
        <w:rPr>
          <w:rFonts w:hint="eastAsia" w:ascii="宋体" w:hAnsi="宋体" w:eastAsia="宋体" w:cs="宋体"/>
          <w:bCs/>
          <w:sz w:val="24"/>
          <w:highlight w:val="none"/>
        </w:rPr>
        <w:t>月</w:t>
      </w:r>
      <w:r>
        <w:rPr>
          <w:rFonts w:hint="eastAsia" w:ascii="宋体" w:hAnsi="宋体" w:eastAsia="宋体" w:cs="宋体"/>
          <w:bCs/>
          <w:sz w:val="24"/>
          <w:highlight w:val="none"/>
          <w:lang w:val="en-US" w:eastAsia="zh-CN"/>
        </w:rPr>
        <w:t>25</w:t>
      </w:r>
      <w:r>
        <w:rPr>
          <w:rFonts w:hint="eastAsia" w:ascii="宋体" w:hAnsi="宋体" w:eastAsia="宋体" w:cs="宋体"/>
          <w:bCs/>
          <w:sz w:val="24"/>
          <w:highlight w:val="none"/>
        </w:rPr>
        <w:t>日</w:t>
      </w:r>
    </w:p>
    <w:sectPr>
      <w:pgSz w:w="11906" w:h="16838"/>
      <w:pgMar w:top="1191" w:right="1361" w:bottom="1191" w:left="136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Consolas">
    <w:panose1 w:val="020B0609020204030204"/>
    <w:charset w:val="00"/>
    <w:family w:val="modern"/>
    <w:pitch w:val="default"/>
    <w:sig w:usb0="E00002FF" w:usb1="0000FCFF" w:usb2="00000001" w:usb3="00000000" w:csb0="6000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51BF60"/>
    <w:multiLevelType w:val="singleLevel"/>
    <w:tmpl w:val="9A51BF60"/>
    <w:lvl w:ilvl="0" w:tentative="0">
      <w:start w:val="1"/>
      <w:numFmt w:val="chineseCounting"/>
      <w:suff w:val="nothing"/>
      <w:lvlText w:val="%1、"/>
      <w:lvlJc w:val="left"/>
      <w:rPr>
        <w:rFonts w:hint="eastAsia"/>
      </w:rPr>
    </w:lvl>
  </w:abstractNum>
  <w:abstractNum w:abstractNumId="1">
    <w:nsid w:val="CEF6C511"/>
    <w:multiLevelType w:val="singleLevel"/>
    <w:tmpl w:val="CEF6C511"/>
    <w:lvl w:ilvl="0" w:tentative="0">
      <w:start w:val="1"/>
      <w:numFmt w:val="decimal"/>
      <w:suff w:val="nothing"/>
      <w:lvlText w:val="%1、"/>
      <w:lvlJc w:val="left"/>
    </w:lvl>
  </w:abstractNum>
  <w:abstractNum w:abstractNumId="2">
    <w:nsid w:val="0000000B"/>
    <w:multiLevelType w:val="multilevel"/>
    <w:tmpl w:val="0000000B"/>
    <w:lvl w:ilvl="0" w:tentative="0">
      <w:start w:val="1"/>
      <w:numFmt w:val="chineseCountingThousand"/>
      <w:lvlText w:val="第%1条"/>
      <w:lvlJc w:val="left"/>
      <w:pPr>
        <w:tabs>
          <w:tab w:val="left" w:pos="1260"/>
        </w:tabs>
        <w:ind w:left="540" w:firstLine="0"/>
      </w:pPr>
      <w:rPr>
        <w:rFonts w:hint="default" w:ascii="楷体" w:hAnsi="楷体" w:eastAsia="楷体"/>
        <w:b/>
        <w:i w:val="0"/>
        <w:sz w:val="23"/>
        <w:szCs w:val="22"/>
        <w:lang w:val="en-US"/>
      </w:rPr>
    </w:lvl>
    <w:lvl w:ilvl="1" w:tentative="0">
      <w:start w:val="1"/>
      <w:numFmt w:val="decimal"/>
      <w:pStyle w:val="2"/>
      <w:isLgl/>
      <w:lvlText w:val="%1.%2"/>
      <w:lvlJc w:val="left"/>
      <w:pPr>
        <w:tabs>
          <w:tab w:val="left" w:pos="502"/>
        </w:tabs>
        <w:ind w:left="499" w:hanging="357"/>
      </w:pPr>
      <w:rPr>
        <w:rFonts w:hint="default" w:ascii="Times New Roman" w:hAnsi="Times New Roman" w:eastAsia="宋体" w:cs="Times New Roman"/>
        <w:b w:val="0"/>
        <w:i w:val="0"/>
        <w:sz w:val="24"/>
        <w:szCs w:val="22"/>
      </w:rPr>
    </w:lvl>
    <w:lvl w:ilvl="2" w:tentative="0">
      <w:start w:val="1"/>
      <w:numFmt w:val="decimal"/>
      <w:pStyle w:val="3"/>
      <w:lvlText w:val="(%3)"/>
      <w:lvlJc w:val="left"/>
      <w:pPr>
        <w:tabs>
          <w:tab w:val="left" w:pos="1859"/>
        </w:tabs>
        <w:ind w:left="-157" w:firstLine="1008"/>
      </w:pPr>
      <w:rPr>
        <w:rFonts w:hint="default" w:ascii="Times New Roman" w:hAnsi="Times New Roman" w:eastAsia="宋体"/>
        <w:b w:val="0"/>
        <w:i w:val="0"/>
        <w:sz w:val="24"/>
        <w:szCs w:val="24"/>
      </w:rPr>
    </w:lvl>
    <w:lvl w:ilvl="3" w:tentative="0">
      <w:start w:val="1"/>
      <w:numFmt w:val="lowerRoman"/>
      <w:lvlText w:val="(%4)"/>
      <w:lvlJc w:val="left"/>
      <w:pPr>
        <w:tabs>
          <w:tab w:val="left" w:pos="1995"/>
        </w:tabs>
        <w:ind w:left="1995" w:hanging="555"/>
      </w:pPr>
      <w:rPr>
        <w:rFonts w:hint="eastAsia" w:ascii="Times New Roman" w:hAnsi="Times New Roman" w:eastAsia="宋体" w:cs="Times New Roman"/>
        <w:b w:val="0"/>
        <w:i w:val="0"/>
        <w:sz w:val="24"/>
        <w:szCs w:val="24"/>
      </w:rPr>
    </w:lvl>
    <w:lvl w:ilvl="4" w:tentative="0">
      <w:start w:val="1"/>
      <w:numFmt w:val="upperLetter"/>
      <w:lvlText w:val="(%5)"/>
      <w:lvlJc w:val="left"/>
      <w:pPr>
        <w:tabs>
          <w:tab w:val="left" w:pos="360"/>
        </w:tabs>
        <w:ind w:left="360" w:hanging="360"/>
      </w:pPr>
      <w:rPr>
        <w:rFonts w:hint="default"/>
        <w:b w:val="0"/>
        <w:i w:val="0"/>
        <w:sz w:val="22"/>
        <w:szCs w:val="22"/>
        <w:lang w:val="en-US"/>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6FDC20B4"/>
    <w:multiLevelType w:val="singleLevel"/>
    <w:tmpl w:val="6FDC20B4"/>
    <w:lvl w:ilvl="0" w:tentative="0">
      <w:start w:val="1"/>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wNjBhNGIxZjE5ZGM2MTY0MTM5ZTUwOWZmNzVlY2UifQ=="/>
  </w:docVars>
  <w:rsids>
    <w:rsidRoot w:val="1B572962"/>
    <w:rsid w:val="00014F83"/>
    <w:rsid w:val="00024A13"/>
    <w:rsid w:val="000D465A"/>
    <w:rsid w:val="000F2B3B"/>
    <w:rsid w:val="00174660"/>
    <w:rsid w:val="001A68E6"/>
    <w:rsid w:val="001F239F"/>
    <w:rsid w:val="0027333F"/>
    <w:rsid w:val="0029019B"/>
    <w:rsid w:val="002C361C"/>
    <w:rsid w:val="002D53EB"/>
    <w:rsid w:val="00391D22"/>
    <w:rsid w:val="00413831"/>
    <w:rsid w:val="004A6523"/>
    <w:rsid w:val="00563123"/>
    <w:rsid w:val="006143D4"/>
    <w:rsid w:val="006E4C0E"/>
    <w:rsid w:val="00773A14"/>
    <w:rsid w:val="007D3D86"/>
    <w:rsid w:val="00807E48"/>
    <w:rsid w:val="00815C1D"/>
    <w:rsid w:val="009A7518"/>
    <w:rsid w:val="009C20E6"/>
    <w:rsid w:val="009F262D"/>
    <w:rsid w:val="00A04C38"/>
    <w:rsid w:val="00A74476"/>
    <w:rsid w:val="00AF4AB0"/>
    <w:rsid w:val="00B01CEC"/>
    <w:rsid w:val="00BC3BF9"/>
    <w:rsid w:val="00CD2B4A"/>
    <w:rsid w:val="00D8613B"/>
    <w:rsid w:val="00DC6271"/>
    <w:rsid w:val="00E83F5C"/>
    <w:rsid w:val="00F2193B"/>
    <w:rsid w:val="00F45091"/>
    <w:rsid w:val="00F45C1A"/>
    <w:rsid w:val="012B008D"/>
    <w:rsid w:val="018A55CB"/>
    <w:rsid w:val="02362BCD"/>
    <w:rsid w:val="02381952"/>
    <w:rsid w:val="0317455D"/>
    <w:rsid w:val="03442E8E"/>
    <w:rsid w:val="034817A4"/>
    <w:rsid w:val="03A20CC9"/>
    <w:rsid w:val="03A656EC"/>
    <w:rsid w:val="03BB5A51"/>
    <w:rsid w:val="041F5F98"/>
    <w:rsid w:val="049512CF"/>
    <w:rsid w:val="04FC4DE6"/>
    <w:rsid w:val="052971A9"/>
    <w:rsid w:val="05F57ECB"/>
    <w:rsid w:val="065A3160"/>
    <w:rsid w:val="07A55AB3"/>
    <w:rsid w:val="07B07BFE"/>
    <w:rsid w:val="081A1FF1"/>
    <w:rsid w:val="083F129E"/>
    <w:rsid w:val="086C262D"/>
    <w:rsid w:val="088968DD"/>
    <w:rsid w:val="08A705FC"/>
    <w:rsid w:val="08CE7B62"/>
    <w:rsid w:val="09D21BBD"/>
    <w:rsid w:val="0A2E47B7"/>
    <w:rsid w:val="0A4C01FC"/>
    <w:rsid w:val="0AC1478A"/>
    <w:rsid w:val="0AE54B27"/>
    <w:rsid w:val="0AF341A3"/>
    <w:rsid w:val="0B0E3865"/>
    <w:rsid w:val="0B2F3974"/>
    <w:rsid w:val="0B35308B"/>
    <w:rsid w:val="0B8200CC"/>
    <w:rsid w:val="0BD45161"/>
    <w:rsid w:val="0BE456C0"/>
    <w:rsid w:val="0C180481"/>
    <w:rsid w:val="0CC54B85"/>
    <w:rsid w:val="0CDF2A1B"/>
    <w:rsid w:val="0D0B7EA6"/>
    <w:rsid w:val="0D7C3D69"/>
    <w:rsid w:val="0DDA29F7"/>
    <w:rsid w:val="0DE40A24"/>
    <w:rsid w:val="0E7E1703"/>
    <w:rsid w:val="0EF46344"/>
    <w:rsid w:val="0F0C145B"/>
    <w:rsid w:val="0F836C51"/>
    <w:rsid w:val="0FC242BF"/>
    <w:rsid w:val="0FDA38EB"/>
    <w:rsid w:val="10E54D32"/>
    <w:rsid w:val="110016E4"/>
    <w:rsid w:val="125824A0"/>
    <w:rsid w:val="12A51B22"/>
    <w:rsid w:val="12A91B62"/>
    <w:rsid w:val="141C694B"/>
    <w:rsid w:val="15602083"/>
    <w:rsid w:val="156E25F9"/>
    <w:rsid w:val="161566C4"/>
    <w:rsid w:val="16C976E5"/>
    <w:rsid w:val="177C283F"/>
    <w:rsid w:val="17D73892"/>
    <w:rsid w:val="1852335D"/>
    <w:rsid w:val="18691AD8"/>
    <w:rsid w:val="189E36FF"/>
    <w:rsid w:val="18D23D09"/>
    <w:rsid w:val="18E34A7F"/>
    <w:rsid w:val="19212DFD"/>
    <w:rsid w:val="19D36D2B"/>
    <w:rsid w:val="19EF2361"/>
    <w:rsid w:val="19F21F6C"/>
    <w:rsid w:val="1A4E330B"/>
    <w:rsid w:val="1AD86573"/>
    <w:rsid w:val="1AF02850"/>
    <w:rsid w:val="1B526A34"/>
    <w:rsid w:val="1B572962"/>
    <w:rsid w:val="1C6737D0"/>
    <w:rsid w:val="1CA66BBE"/>
    <w:rsid w:val="1CA96CFC"/>
    <w:rsid w:val="1CCF7B47"/>
    <w:rsid w:val="1DBC5E27"/>
    <w:rsid w:val="1DED3012"/>
    <w:rsid w:val="1E583759"/>
    <w:rsid w:val="1F096D36"/>
    <w:rsid w:val="1F0F5D9D"/>
    <w:rsid w:val="1F1C54F5"/>
    <w:rsid w:val="1F297326"/>
    <w:rsid w:val="1F2E5533"/>
    <w:rsid w:val="204E19D5"/>
    <w:rsid w:val="20616B6A"/>
    <w:rsid w:val="20C808AA"/>
    <w:rsid w:val="20F5398A"/>
    <w:rsid w:val="20F64B70"/>
    <w:rsid w:val="21613AFB"/>
    <w:rsid w:val="219F68B0"/>
    <w:rsid w:val="22205764"/>
    <w:rsid w:val="22355D13"/>
    <w:rsid w:val="229561E0"/>
    <w:rsid w:val="22AB56DE"/>
    <w:rsid w:val="23207BA0"/>
    <w:rsid w:val="23756451"/>
    <w:rsid w:val="23A92E86"/>
    <w:rsid w:val="23E62FC7"/>
    <w:rsid w:val="24186BD0"/>
    <w:rsid w:val="242A03A6"/>
    <w:rsid w:val="248F60F7"/>
    <w:rsid w:val="24C07787"/>
    <w:rsid w:val="25A4232F"/>
    <w:rsid w:val="265929D8"/>
    <w:rsid w:val="266307D2"/>
    <w:rsid w:val="266839D9"/>
    <w:rsid w:val="26DD53F1"/>
    <w:rsid w:val="26DF7DC9"/>
    <w:rsid w:val="26E440EA"/>
    <w:rsid w:val="277216E1"/>
    <w:rsid w:val="28325EF5"/>
    <w:rsid w:val="28654FBF"/>
    <w:rsid w:val="28A325D6"/>
    <w:rsid w:val="28E9293A"/>
    <w:rsid w:val="28F81C75"/>
    <w:rsid w:val="292C1AD0"/>
    <w:rsid w:val="2962120C"/>
    <w:rsid w:val="29A23BD9"/>
    <w:rsid w:val="29C75CC6"/>
    <w:rsid w:val="2A0D6661"/>
    <w:rsid w:val="2A34374B"/>
    <w:rsid w:val="2A5E25E6"/>
    <w:rsid w:val="2A9C249E"/>
    <w:rsid w:val="2AB77B91"/>
    <w:rsid w:val="2B681349"/>
    <w:rsid w:val="2B705622"/>
    <w:rsid w:val="2BB6182D"/>
    <w:rsid w:val="2C566E62"/>
    <w:rsid w:val="2C6F064F"/>
    <w:rsid w:val="2CAA76C2"/>
    <w:rsid w:val="2D0520C7"/>
    <w:rsid w:val="2DA92ED6"/>
    <w:rsid w:val="2E86193C"/>
    <w:rsid w:val="2EA33E3C"/>
    <w:rsid w:val="2EB432BB"/>
    <w:rsid w:val="2ECB4CA9"/>
    <w:rsid w:val="2F294136"/>
    <w:rsid w:val="2F460A04"/>
    <w:rsid w:val="2F4A3F20"/>
    <w:rsid w:val="2F9871C9"/>
    <w:rsid w:val="2FFC0E5E"/>
    <w:rsid w:val="30C7018F"/>
    <w:rsid w:val="30D543F6"/>
    <w:rsid w:val="30E516FF"/>
    <w:rsid w:val="31902E8D"/>
    <w:rsid w:val="329B3728"/>
    <w:rsid w:val="32A73EB2"/>
    <w:rsid w:val="330208E0"/>
    <w:rsid w:val="33031F59"/>
    <w:rsid w:val="333F4BF0"/>
    <w:rsid w:val="338C33E6"/>
    <w:rsid w:val="33C65B2C"/>
    <w:rsid w:val="33D5449A"/>
    <w:rsid w:val="341208C4"/>
    <w:rsid w:val="342F694F"/>
    <w:rsid w:val="34646D83"/>
    <w:rsid w:val="3468658A"/>
    <w:rsid w:val="35133BAF"/>
    <w:rsid w:val="353C7AED"/>
    <w:rsid w:val="35EB2F5F"/>
    <w:rsid w:val="36047B6B"/>
    <w:rsid w:val="36A85F15"/>
    <w:rsid w:val="371B19C3"/>
    <w:rsid w:val="376165DD"/>
    <w:rsid w:val="37842CEF"/>
    <w:rsid w:val="389A0631"/>
    <w:rsid w:val="39E72715"/>
    <w:rsid w:val="3A697BC0"/>
    <w:rsid w:val="3AC665F7"/>
    <w:rsid w:val="3B3E4446"/>
    <w:rsid w:val="3BB058DF"/>
    <w:rsid w:val="3C301FC0"/>
    <w:rsid w:val="3C522DB4"/>
    <w:rsid w:val="3C9E488B"/>
    <w:rsid w:val="3CB848A7"/>
    <w:rsid w:val="3CF479A2"/>
    <w:rsid w:val="3D9148B2"/>
    <w:rsid w:val="3D9B1943"/>
    <w:rsid w:val="3E7435E8"/>
    <w:rsid w:val="3E944A14"/>
    <w:rsid w:val="3F3870BA"/>
    <w:rsid w:val="3F542E9E"/>
    <w:rsid w:val="3F9B61F7"/>
    <w:rsid w:val="400A60DA"/>
    <w:rsid w:val="40664F20"/>
    <w:rsid w:val="40AB493B"/>
    <w:rsid w:val="40CE4185"/>
    <w:rsid w:val="41886918"/>
    <w:rsid w:val="41A16671"/>
    <w:rsid w:val="41DF5468"/>
    <w:rsid w:val="423C0654"/>
    <w:rsid w:val="432F6861"/>
    <w:rsid w:val="4384689B"/>
    <w:rsid w:val="43A7196A"/>
    <w:rsid w:val="44326494"/>
    <w:rsid w:val="443A0B34"/>
    <w:rsid w:val="44DF7EB3"/>
    <w:rsid w:val="44F22A4B"/>
    <w:rsid w:val="450B35E4"/>
    <w:rsid w:val="45E675C8"/>
    <w:rsid w:val="46191B25"/>
    <w:rsid w:val="462563D2"/>
    <w:rsid w:val="46B351E2"/>
    <w:rsid w:val="46CD4168"/>
    <w:rsid w:val="46D93BA0"/>
    <w:rsid w:val="473F3BAC"/>
    <w:rsid w:val="47965C4D"/>
    <w:rsid w:val="47F2234D"/>
    <w:rsid w:val="484D503C"/>
    <w:rsid w:val="48604C55"/>
    <w:rsid w:val="48BF3091"/>
    <w:rsid w:val="48FB2845"/>
    <w:rsid w:val="494168BE"/>
    <w:rsid w:val="496D5FF6"/>
    <w:rsid w:val="4A280C46"/>
    <w:rsid w:val="4A6C4C81"/>
    <w:rsid w:val="4AB13F10"/>
    <w:rsid w:val="4AC64202"/>
    <w:rsid w:val="4AE052E5"/>
    <w:rsid w:val="4B3E079A"/>
    <w:rsid w:val="4CC56E86"/>
    <w:rsid w:val="4DD63AEE"/>
    <w:rsid w:val="4E902F9F"/>
    <w:rsid w:val="4EEE5558"/>
    <w:rsid w:val="4F04166E"/>
    <w:rsid w:val="4F056AD2"/>
    <w:rsid w:val="4F1311B1"/>
    <w:rsid w:val="4F687B10"/>
    <w:rsid w:val="4F7B318C"/>
    <w:rsid w:val="4FDE0A92"/>
    <w:rsid w:val="4FF80270"/>
    <w:rsid w:val="50430637"/>
    <w:rsid w:val="504371BD"/>
    <w:rsid w:val="508B7766"/>
    <w:rsid w:val="5099030C"/>
    <w:rsid w:val="50A75F4C"/>
    <w:rsid w:val="50F419E6"/>
    <w:rsid w:val="517174DB"/>
    <w:rsid w:val="517214B3"/>
    <w:rsid w:val="51735001"/>
    <w:rsid w:val="51AF2447"/>
    <w:rsid w:val="522C6DA2"/>
    <w:rsid w:val="53AF51FC"/>
    <w:rsid w:val="53CA50C1"/>
    <w:rsid w:val="548C2614"/>
    <w:rsid w:val="54BB6F8B"/>
    <w:rsid w:val="54F62640"/>
    <w:rsid w:val="550C3347"/>
    <w:rsid w:val="55C87F09"/>
    <w:rsid w:val="56080CF3"/>
    <w:rsid w:val="561B1D10"/>
    <w:rsid w:val="56CB4D32"/>
    <w:rsid w:val="5714796C"/>
    <w:rsid w:val="577067C0"/>
    <w:rsid w:val="57CF45B3"/>
    <w:rsid w:val="58BC25E6"/>
    <w:rsid w:val="58F5781F"/>
    <w:rsid w:val="58F939C0"/>
    <w:rsid w:val="59276F88"/>
    <w:rsid w:val="596577A1"/>
    <w:rsid w:val="59ED4F69"/>
    <w:rsid w:val="59EE2326"/>
    <w:rsid w:val="5A5A5F8B"/>
    <w:rsid w:val="5AAA505D"/>
    <w:rsid w:val="5CF05D2C"/>
    <w:rsid w:val="5DF665A3"/>
    <w:rsid w:val="5FA74446"/>
    <w:rsid w:val="5FB12258"/>
    <w:rsid w:val="60436265"/>
    <w:rsid w:val="60632D51"/>
    <w:rsid w:val="60642D55"/>
    <w:rsid w:val="61375EAB"/>
    <w:rsid w:val="614D4C66"/>
    <w:rsid w:val="61802362"/>
    <w:rsid w:val="61944BEB"/>
    <w:rsid w:val="61F8176A"/>
    <w:rsid w:val="621D030C"/>
    <w:rsid w:val="62402153"/>
    <w:rsid w:val="62F11988"/>
    <w:rsid w:val="637A5A63"/>
    <w:rsid w:val="63EB3A83"/>
    <w:rsid w:val="643F1F85"/>
    <w:rsid w:val="647F7DEC"/>
    <w:rsid w:val="65160232"/>
    <w:rsid w:val="65B218B4"/>
    <w:rsid w:val="662F532A"/>
    <w:rsid w:val="665A6FC6"/>
    <w:rsid w:val="66AF7EB8"/>
    <w:rsid w:val="675F2DDF"/>
    <w:rsid w:val="67A56AF3"/>
    <w:rsid w:val="683E091E"/>
    <w:rsid w:val="687C7F46"/>
    <w:rsid w:val="69932899"/>
    <w:rsid w:val="69B254CB"/>
    <w:rsid w:val="69BA3510"/>
    <w:rsid w:val="69BA7F77"/>
    <w:rsid w:val="69BB07E6"/>
    <w:rsid w:val="69D63F27"/>
    <w:rsid w:val="6A5F1276"/>
    <w:rsid w:val="6A9D7130"/>
    <w:rsid w:val="6ADA2332"/>
    <w:rsid w:val="6ADF6022"/>
    <w:rsid w:val="6AE54B73"/>
    <w:rsid w:val="6AF60649"/>
    <w:rsid w:val="6B354457"/>
    <w:rsid w:val="6B6165D2"/>
    <w:rsid w:val="6C5C0714"/>
    <w:rsid w:val="6CBE7E43"/>
    <w:rsid w:val="6CC31137"/>
    <w:rsid w:val="6CF511F3"/>
    <w:rsid w:val="6D535020"/>
    <w:rsid w:val="6D7741B0"/>
    <w:rsid w:val="6D9D5BEC"/>
    <w:rsid w:val="6EC9435A"/>
    <w:rsid w:val="6EDB23C2"/>
    <w:rsid w:val="6F474E24"/>
    <w:rsid w:val="6FD1690A"/>
    <w:rsid w:val="701134C2"/>
    <w:rsid w:val="707E335D"/>
    <w:rsid w:val="712E2B9D"/>
    <w:rsid w:val="71440E2A"/>
    <w:rsid w:val="71FB5879"/>
    <w:rsid w:val="721D389F"/>
    <w:rsid w:val="722079FA"/>
    <w:rsid w:val="72303324"/>
    <w:rsid w:val="72527FC4"/>
    <w:rsid w:val="728C5ACB"/>
    <w:rsid w:val="72B76DAC"/>
    <w:rsid w:val="72F9376E"/>
    <w:rsid w:val="733C7477"/>
    <w:rsid w:val="73523CAA"/>
    <w:rsid w:val="736A727E"/>
    <w:rsid w:val="739651CC"/>
    <w:rsid w:val="73F04F05"/>
    <w:rsid w:val="743374C1"/>
    <w:rsid w:val="75390C27"/>
    <w:rsid w:val="75CF4D31"/>
    <w:rsid w:val="76255767"/>
    <w:rsid w:val="766C05D6"/>
    <w:rsid w:val="7733214D"/>
    <w:rsid w:val="774C06C1"/>
    <w:rsid w:val="78180754"/>
    <w:rsid w:val="782F79A2"/>
    <w:rsid w:val="78B83176"/>
    <w:rsid w:val="797C23F5"/>
    <w:rsid w:val="7A01723B"/>
    <w:rsid w:val="7A1206B7"/>
    <w:rsid w:val="7AA225D3"/>
    <w:rsid w:val="7AC307C2"/>
    <w:rsid w:val="7B3958D2"/>
    <w:rsid w:val="7BBE0614"/>
    <w:rsid w:val="7BDD07EC"/>
    <w:rsid w:val="7C4B336C"/>
    <w:rsid w:val="7D643DAB"/>
    <w:rsid w:val="7D995C1A"/>
    <w:rsid w:val="7E4B1884"/>
    <w:rsid w:val="7E6D0BB5"/>
    <w:rsid w:val="7EF764CA"/>
    <w:rsid w:val="7F863192"/>
    <w:rsid w:val="7FC23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autoRedefine/>
    <w:unhideWhenUsed/>
    <w:qFormat/>
    <w:uiPriority w:val="0"/>
    <w:pPr>
      <w:widowControl/>
      <w:numPr>
        <w:ilvl w:val="1"/>
        <w:numId w:val="1"/>
      </w:numPr>
      <w:tabs>
        <w:tab w:val="left" w:pos="360"/>
        <w:tab w:val="left" w:pos="1260"/>
      </w:tabs>
      <w:spacing w:after="240" w:line="380" w:lineRule="exact"/>
      <w:jc w:val="left"/>
      <w:outlineLvl w:val="1"/>
    </w:pPr>
    <w:rPr>
      <w:rFonts w:eastAsia="华文楷体"/>
      <w:bCs/>
      <w:sz w:val="22"/>
      <w:lang w:eastAsia="zh-TW"/>
    </w:rPr>
  </w:style>
  <w:style w:type="paragraph" w:styleId="3">
    <w:name w:val="heading 3"/>
    <w:basedOn w:val="1"/>
    <w:next w:val="1"/>
    <w:autoRedefine/>
    <w:unhideWhenUsed/>
    <w:qFormat/>
    <w:uiPriority w:val="0"/>
    <w:pPr>
      <w:widowControl/>
      <w:numPr>
        <w:ilvl w:val="2"/>
        <w:numId w:val="1"/>
      </w:numPr>
      <w:tabs>
        <w:tab w:val="left" w:pos="1260"/>
        <w:tab w:val="left" w:pos="2808"/>
      </w:tabs>
      <w:spacing w:after="240" w:line="380" w:lineRule="exact"/>
      <w:jc w:val="left"/>
      <w:outlineLvl w:val="2"/>
    </w:pPr>
    <w:rPr>
      <w:rFonts w:eastAsia="华文楷体"/>
      <w:bCs/>
      <w:sz w:val="22"/>
      <w:lang w:eastAsia="zh-TW"/>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52"/>
    <w:autoRedefine/>
    <w:qFormat/>
    <w:uiPriority w:val="0"/>
    <w:pPr>
      <w:jc w:val="left"/>
    </w:pPr>
  </w:style>
  <w:style w:type="paragraph" w:styleId="5">
    <w:name w:val="Body Text"/>
    <w:basedOn w:val="1"/>
    <w:autoRedefine/>
    <w:qFormat/>
    <w:uiPriority w:val="1"/>
    <w:rPr>
      <w:sz w:val="24"/>
      <w:szCs w:val="24"/>
    </w:rPr>
  </w:style>
  <w:style w:type="paragraph" w:styleId="6">
    <w:name w:val="footer"/>
    <w:basedOn w:val="1"/>
    <w:link w:val="44"/>
    <w:autoRedefine/>
    <w:qFormat/>
    <w:uiPriority w:val="0"/>
    <w:pPr>
      <w:tabs>
        <w:tab w:val="center" w:pos="4153"/>
        <w:tab w:val="right" w:pos="8306"/>
      </w:tabs>
      <w:snapToGrid w:val="0"/>
      <w:jc w:val="left"/>
    </w:pPr>
    <w:rPr>
      <w:sz w:val="18"/>
      <w:szCs w:val="18"/>
    </w:rPr>
  </w:style>
  <w:style w:type="paragraph" w:styleId="7">
    <w:name w:val="header"/>
    <w:basedOn w:val="1"/>
    <w:link w:val="43"/>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53"/>
    <w:autoRedefine/>
    <w:qFormat/>
    <w:uiPriority w:val="0"/>
    <w:rPr>
      <w:b/>
      <w:bCs/>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autoRedefine/>
    <w:qFormat/>
    <w:uiPriority w:val="0"/>
    <w:rPr>
      <w:b/>
    </w:rPr>
  </w:style>
  <w:style w:type="character" w:styleId="13">
    <w:name w:val="FollowedHyperlink"/>
    <w:basedOn w:val="11"/>
    <w:autoRedefine/>
    <w:qFormat/>
    <w:uiPriority w:val="0"/>
    <w:rPr>
      <w:color w:val="3C4144"/>
      <w:u w:val="none"/>
    </w:rPr>
  </w:style>
  <w:style w:type="character" w:styleId="14">
    <w:name w:val="Emphasis"/>
    <w:basedOn w:val="11"/>
    <w:autoRedefine/>
    <w:qFormat/>
    <w:uiPriority w:val="0"/>
  </w:style>
  <w:style w:type="character" w:styleId="15">
    <w:name w:val="HTML Definition"/>
    <w:basedOn w:val="11"/>
    <w:autoRedefine/>
    <w:qFormat/>
    <w:uiPriority w:val="0"/>
    <w:rPr>
      <w:i/>
    </w:rPr>
  </w:style>
  <w:style w:type="character" w:styleId="16">
    <w:name w:val="Hyperlink"/>
    <w:basedOn w:val="11"/>
    <w:autoRedefine/>
    <w:qFormat/>
    <w:uiPriority w:val="0"/>
    <w:rPr>
      <w:color w:val="3C4144"/>
      <w:u w:val="none"/>
    </w:rPr>
  </w:style>
  <w:style w:type="character" w:styleId="17">
    <w:name w:val="HTML Code"/>
    <w:basedOn w:val="11"/>
    <w:autoRedefine/>
    <w:qFormat/>
    <w:uiPriority w:val="0"/>
    <w:rPr>
      <w:rFonts w:hint="default" w:ascii="Consolas" w:hAnsi="Consolas" w:eastAsia="Consolas" w:cs="Consolas"/>
      <w:color w:val="C7254E"/>
      <w:sz w:val="21"/>
      <w:szCs w:val="21"/>
      <w:shd w:val="clear" w:color="auto" w:fill="F9F2F4"/>
    </w:rPr>
  </w:style>
  <w:style w:type="character" w:styleId="18">
    <w:name w:val="annotation reference"/>
    <w:autoRedefine/>
    <w:unhideWhenUsed/>
    <w:qFormat/>
    <w:uiPriority w:val="99"/>
    <w:rPr>
      <w:sz w:val="21"/>
      <w:szCs w:val="21"/>
    </w:rPr>
  </w:style>
  <w:style w:type="character" w:styleId="19">
    <w:name w:val="HTML Cite"/>
    <w:basedOn w:val="11"/>
    <w:autoRedefine/>
    <w:qFormat/>
    <w:uiPriority w:val="0"/>
  </w:style>
  <w:style w:type="character" w:styleId="20">
    <w:name w:val="HTML Keyboard"/>
    <w:basedOn w:val="11"/>
    <w:autoRedefine/>
    <w:qFormat/>
    <w:uiPriority w:val="0"/>
    <w:rPr>
      <w:rFonts w:hint="default" w:ascii="Consolas" w:hAnsi="Consolas" w:eastAsia="Consolas" w:cs="Consolas"/>
      <w:color w:val="FFFFFF"/>
      <w:sz w:val="21"/>
      <w:szCs w:val="21"/>
      <w:shd w:val="clear" w:color="auto" w:fill="333333"/>
    </w:rPr>
  </w:style>
  <w:style w:type="character" w:styleId="21">
    <w:name w:val="HTML Sample"/>
    <w:basedOn w:val="11"/>
    <w:autoRedefine/>
    <w:qFormat/>
    <w:uiPriority w:val="0"/>
    <w:rPr>
      <w:rFonts w:ascii="Consolas" w:hAnsi="Consolas" w:eastAsia="Consolas" w:cs="Consolas"/>
      <w:sz w:val="21"/>
      <w:szCs w:val="21"/>
    </w:rPr>
  </w:style>
  <w:style w:type="character" w:customStyle="1" w:styleId="22">
    <w:name w:val="da"/>
    <w:basedOn w:val="11"/>
    <w:autoRedefine/>
    <w:qFormat/>
    <w:uiPriority w:val="0"/>
  </w:style>
  <w:style w:type="character" w:customStyle="1" w:styleId="23">
    <w:name w:val="edit4"/>
    <w:basedOn w:val="11"/>
    <w:autoRedefine/>
    <w:qFormat/>
    <w:uiPriority w:val="0"/>
  </w:style>
  <w:style w:type="character" w:customStyle="1" w:styleId="24">
    <w:name w:val="nc-lang-cnt"/>
    <w:basedOn w:val="11"/>
    <w:autoRedefine/>
    <w:qFormat/>
    <w:uiPriority w:val="0"/>
  </w:style>
  <w:style w:type="character" w:customStyle="1" w:styleId="25">
    <w:name w:val="nc-lang-cnt1"/>
    <w:basedOn w:val="11"/>
    <w:autoRedefine/>
    <w:qFormat/>
    <w:uiPriority w:val="0"/>
  </w:style>
  <w:style w:type="character" w:customStyle="1" w:styleId="26">
    <w:name w:val="nc-lang-cnt2"/>
    <w:basedOn w:val="11"/>
    <w:autoRedefine/>
    <w:qFormat/>
    <w:uiPriority w:val="0"/>
    <w:rPr>
      <w:rtl/>
    </w:rPr>
  </w:style>
  <w:style w:type="character" w:customStyle="1" w:styleId="27">
    <w:name w:val="nc-lang-cnt3"/>
    <w:basedOn w:val="11"/>
    <w:autoRedefine/>
    <w:qFormat/>
    <w:uiPriority w:val="0"/>
    <w:rPr>
      <w:rtl/>
    </w:rPr>
  </w:style>
  <w:style w:type="character" w:customStyle="1" w:styleId="28">
    <w:name w:val="nc-lang-cnt4"/>
    <w:basedOn w:val="11"/>
    <w:autoRedefine/>
    <w:qFormat/>
    <w:uiPriority w:val="0"/>
    <w:rPr>
      <w:rtl/>
    </w:rPr>
  </w:style>
  <w:style w:type="character" w:customStyle="1" w:styleId="29">
    <w:name w:val="nc-lang-cnt5"/>
    <w:basedOn w:val="11"/>
    <w:autoRedefine/>
    <w:qFormat/>
    <w:uiPriority w:val="0"/>
    <w:rPr>
      <w:rtl/>
    </w:rPr>
  </w:style>
  <w:style w:type="character" w:customStyle="1" w:styleId="30">
    <w:name w:val="nc-lang-cnt6"/>
    <w:basedOn w:val="11"/>
    <w:autoRedefine/>
    <w:qFormat/>
    <w:uiPriority w:val="0"/>
  </w:style>
  <w:style w:type="character" w:customStyle="1" w:styleId="31">
    <w:name w:val="after"/>
    <w:basedOn w:val="11"/>
    <w:autoRedefine/>
    <w:qFormat/>
    <w:uiPriority w:val="0"/>
    <w:rPr>
      <w:shd w:val="clear" w:color="auto" w:fill="FFFFFF"/>
    </w:rPr>
  </w:style>
  <w:style w:type="character" w:customStyle="1" w:styleId="32">
    <w:name w:val="ma_wx"/>
    <w:basedOn w:val="11"/>
    <w:autoRedefine/>
    <w:qFormat/>
    <w:uiPriority w:val="0"/>
  </w:style>
  <w:style w:type="character" w:customStyle="1" w:styleId="33">
    <w:name w:val="badge22"/>
    <w:basedOn w:val="11"/>
    <w:autoRedefine/>
    <w:qFormat/>
    <w:uiPriority w:val="0"/>
    <w:rPr>
      <w:color w:val="909090"/>
      <w:sz w:val="15"/>
      <w:szCs w:val="15"/>
    </w:rPr>
  </w:style>
  <w:style w:type="character" w:customStyle="1" w:styleId="34">
    <w:name w:val="badge23"/>
    <w:basedOn w:val="11"/>
    <w:autoRedefine/>
    <w:qFormat/>
    <w:uiPriority w:val="0"/>
    <w:rPr>
      <w:shd w:val="clear" w:color="auto" w:fill="FFFFFF"/>
    </w:rPr>
  </w:style>
  <w:style w:type="character" w:customStyle="1" w:styleId="35">
    <w:name w:val="badge24"/>
    <w:basedOn w:val="11"/>
    <w:autoRedefine/>
    <w:qFormat/>
    <w:uiPriority w:val="0"/>
    <w:rPr>
      <w:color w:val="128BED"/>
    </w:rPr>
  </w:style>
  <w:style w:type="character" w:customStyle="1" w:styleId="36">
    <w:name w:val="badge25"/>
    <w:basedOn w:val="11"/>
    <w:autoRedefine/>
    <w:qFormat/>
    <w:uiPriority w:val="0"/>
    <w:rPr>
      <w:color w:val="909090"/>
      <w:sz w:val="15"/>
      <w:szCs w:val="15"/>
    </w:rPr>
  </w:style>
  <w:style w:type="character" w:customStyle="1" w:styleId="37">
    <w:name w:val="badge26"/>
    <w:basedOn w:val="11"/>
    <w:autoRedefine/>
    <w:qFormat/>
    <w:uiPriority w:val="0"/>
    <w:rPr>
      <w:shd w:val="clear" w:color="auto" w:fill="FFFFFF"/>
    </w:rPr>
  </w:style>
  <w:style w:type="character" w:customStyle="1" w:styleId="38">
    <w:name w:val="badge27"/>
    <w:basedOn w:val="11"/>
    <w:autoRedefine/>
    <w:qFormat/>
    <w:uiPriority w:val="0"/>
    <w:rPr>
      <w:color w:val="128BED"/>
    </w:rPr>
  </w:style>
  <w:style w:type="character" w:customStyle="1" w:styleId="39">
    <w:name w:val="badge28"/>
    <w:basedOn w:val="11"/>
    <w:autoRedefine/>
    <w:qFormat/>
    <w:uiPriority w:val="0"/>
    <w:rPr>
      <w:color w:val="128BED"/>
    </w:rPr>
  </w:style>
  <w:style w:type="character" w:customStyle="1" w:styleId="40">
    <w:name w:val="ma_app"/>
    <w:basedOn w:val="11"/>
    <w:autoRedefine/>
    <w:qFormat/>
    <w:uiPriority w:val="0"/>
  </w:style>
  <w:style w:type="character" w:customStyle="1" w:styleId="41">
    <w:name w:val="delete"/>
    <w:basedOn w:val="11"/>
    <w:autoRedefine/>
    <w:qFormat/>
    <w:uiPriority w:val="0"/>
  </w:style>
  <w:style w:type="character" w:customStyle="1" w:styleId="42">
    <w:name w:val="fontstyle01"/>
    <w:basedOn w:val="11"/>
    <w:autoRedefine/>
    <w:qFormat/>
    <w:uiPriority w:val="0"/>
    <w:rPr>
      <w:rFonts w:hint="eastAsia" w:ascii="宋体" w:hAnsi="宋体" w:eastAsia="宋体" w:cs="宋体"/>
      <w:color w:val="000000"/>
      <w:sz w:val="24"/>
      <w:szCs w:val="24"/>
    </w:rPr>
  </w:style>
  <w:style w:type="character" w:customStyle="1" w:styleId="43">
    <w:name w:val="页眉 字符"/>
    <w:basedOn w:val="11"/>
    <w:link w:val="7"/>
    <w:autoRedefine/>
    <w:qFormat/>
    <w:uiPriority w:val="0"/>
    <w:rPr>
      <w:rFonts w:asciiTheme="minorHAnsi" w:hAnsiTheme="minorHAnsi" w:eastAsiaTheme="minorEastAsia" w:cstheme="minorBidi"/>
      <w:kern w:val="2"/>
      <w:sz w:val="18"/>
      <w:szCs w:val="18"/>
    </w:rPr>
  </w:style>
  <w:style w:type="character" w:customStyle="1" w:styleId="44">
    <w:name w:val="页脚 字符"/>
    <w:basedOn w:val="11"/>
    <w:link w:val="6"/>
    <w:autoRedefine/>
    <w:qFormat/>
    <w:uiPriority w:val="0"/>
    <w:rPr>
      <w:rFonts w:asciiTheme="minorHAnsi" w:hAnsiTheme="minorHAnsi" w:eastAsiaTheme="minorEastAsia" w:cstheme="minorBidi"/>
      <w:kern w:val="2"/>
      <w:sz w:val="18"/>
      <w:szCs w:val="18"/>
    </w:rPr>
  </w:style>
  <w:style w:type="character" w:customStyle="1" w:styleId="45">
    <w:name w:val="rec-status-desc"/>
    <w:basedOn w:val="11"/>
    <w:autoRedefine/>
    <w:qFormat/>
    <w:uiPriority w:val="0"/>
  </w:style>
  <w:style w:type="character" w:customStyle="1" w:styleId="46">
    <w:name w:val="rec-volume"/>
    <w:basedOn w:val="11"/>
    <w:autoRedefine/>
    <w:qFormat/>
    <w:uiPriority w:val="0"/>
  </w:style>
  <w:style w:type="character" w:customStyle="1" w:styleId="47">
    <w:name w:val="rec-time"/>
    <w:basedOn w:val="11"/>
    <w:autoRedefine/>
    <w:qFormat/>
    <w:uiPriority w:val="0"/>
  </w:style>
  <w:style w:type="character" w:customStyle="1" w:styleId="48">
    <w:name w:val="DeltaView Insertion"/>
    <w:autoRedefine/>
    <w:qFormat/>
    <w:uiPriority w:val="0"/>
    <w:rPr>
      <w:color w:val="0000FF"/>
      <w:spacing w:val="0"/>
      <w:u w:val="double"/>
    </w:rPr>
  </w:style>
  <w:style w:type="table" w:customStyle="1" w:styleId="49">
    <w:name w:val="Table Normal"/>
    <w:autoRedefine/>
    <w:semiHidden/>
    <w:unhideWhenUsed/>
    <w:qFormat/>
    <w:uiPriority w:val="0"/>
    <w:tblPr>
      <w:tblCellMar>
        <w:top w:w="0" w:type="dxa"/>
        <w:left w:w="0" w:type="dxa"/>
        <w:bottom w:w="0" w:type="dxa"/>
        <w:right w:w="0" w:type="dxa"/>
      </w:tblCellMar>
    </w:tblPr>
  </w:style>
  <w:style w:type="paragraph" w:customStyle="1" w:styleId="50">
    <w:name w:val="Table Paragraph"/>
    <w:basedOn w:val="1"/>
    <w:autoRedefine/>
    <w:qFormat/>
    <w:uiPriority w:val="1"/>
    <w:pPr>
      <w:ind w:left="115"/>
    </w:pPr>
  </w:style>
  <w:style w:type="paragraph" w:customStyle="1" w:styleId="51">
    <w:name w:val="Revision"/>
    <w:autoRedefine/>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52">
    <w:name w:val="批注文字 字符"/>
    <w:basedOn w:val="11"/>
    <w:link w:val="4"/>
    <w:autoRedefine/>
    <w:qFormat/>
    <w:uiPriority w:val="0"/>
    <w:rPr>
      <w:rFonts w:asciiTheme="minorHAnsi" w:hAnsiTheme="minorHAnsi" w:eastAsiaTheme="minorEastAsia" w:cstheme="minorBidi"/>
      <w:kern w:val="2"/>
      <w:sz w:val="21"/>
      <w:szCs w:val="22"/>
    </w:rPr>
  </w:style>
  <w:style w:type="character" w:customStyle="1" w:styleId="53">
    <w:name w:val="批注主题 字符"/>
    <w:basedOn w:val="52"/>
    <w:link w:val="8"/>
    <w:autoRedefine/>
    <w:qFormat/>
    <w:uiPriority w:val="0"/>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5</Pages>
  <Words>3392</Words>
  <Characters>3768</Characters>
  <Lines>49</Lines>
  <Paragraphs>14</Paragraphs>
  <TotalTime>19</TotalTime>
  <ScaleCrop>false</ScaleCrop>
  <LinksUpToDate>false</LinksUpToDate>
  <CharactersWithSpaces>3909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2018-07-03T06:17:00Z</dcterms:created>
  <dc:creator>白首、不相离</dc:creator>
  <cp:lastModifiedBy>沈煜</cp:lastModifiedBy>
  <cp:lastPrinted>2020-01-06T04:31:00Z</cp:lastPrinted>
  <dcterms:modified xsi:type="dcterms:W3CDTF">2024-04-24T02:49:11Z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0B7634D7BB204909A34B1E89A7C78BD2_13</vt:lpwstr>
  </property>
</Properties>
</file>