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ascii="宋体" w:hAnsi="宋体" w:eastAsia="宋体" w:cs="宋体"/>
          <w:sz w:val="24"/>
          <w:szCs w:val="24"/>
        </w:rPr>
      </w:pPr>
      <w:r>
        <w:rPr>
          <w:rFonts w:ascii="宋体" w:hAnsi="宋体" w:eastAsia="宋体" w:cs="宋体"/>
          <w:sz w:val="24"/>
          <w:szCs w:val="24"/>
        </w:rPr>
        <w:t>证券代码：002043            证券简称：兔宝宝            公告编号：2022-031</w:t>
      </w:r>
    </w:p>
    <w:p>
      <w:pPr>
        <w:spacing w:before="0" w:afterAutospacing="0" w:line="400" w:lineRule="exact"/>
        <w:jc w:val="center"/>
        <w:rPr>
          <w:rFonts w:ascii="宋体" w:hAnsi="宋体" w:eastAsia="宋体" w:cs="宋体"/>
          <w:b/>
          <w:bCs/>
          <w:sz w:val="36"/>
          <w:szCs w:val="36"/>
        </w:rPr>
      </w:pPr>
      <w:r>
        <w:rPr>
          <w:rFonts w:ascii="宋体" w:hAnsi="宋体" w:eastAsia="宋体" w:cs="宋体"/>
          <w:b/>
          <w:bCs/>
          <w:sz w:val="36"/>
          <w:szCs w:val="36"/>
        </w:rPr>
        <w:t>德华兔宝宝装饰新材股份有限公司</w:t>
      </w:r>
    </w:p>
    <w:p>
      <w:pPr>
        <w:spacing w:before="471" w:beforeLines="150" w:beforeAutospacing="0" w:after="624" w:afterAutospacing="0" w:line="400" w:lineRule="exact"/>
        <w:jc w:val="center"/>
        <w:rPr>
          <w:rFonts w:ascii="宋体" w:hAnsi="宋体" w:eastAsia="宋体" w:cs="宋体"/>
          <w:b/>
          <w:bCs/>
          <w:sz w:val="36"/>
          <w:szCs w:val="36"/>
        </w:rPr>
      </w:pPr>
      <w:r>
        <w:rPr>
          <w:rFonts w:ascii="宋体" w:hAnsi="宋体" w:eastAsia="宋体" w:cs="宋体"/>
          <w:b/>
          <w:bCs/>
          <w:sz w:val="36"/>
          <w:szCs w:val="36"/>
        </w:rPr>
        <w:t>2022年半年度报告摘要</w:t>
      </w:r>
    </w:p>
    <w:p>
      <w:pPr>
        <w:keepNext/>
        <w:keepLines/>
        <w:spacing w:beforeAutospacing="0" w:after="300" w:line="320" w:lineRule="exact"/>
        <w:jc w:val="left"/>
        <w:outlineLvl w:val="1"/>
        <w:rPr>
          <w:rFonts w:ascii="宋体" w:hAnsi="宋体" w:eastAsia="宋体" w:cs="宋体"/>
          <w:b/>
          <w:bCs/>
          <w:sz w:val="24"/>
          <w:szCs w:val="24"/>
        </w:rPr>
      </w:pPr>
      <w:bookmarkStart w:id="0" w:name="_Toc988889"/>
      <w:r>
        <w:rPr>
          <w:rFonts w:ascii="宋体" w:hAnsi="宋体" w:eastAsia="宋体" w:cs="宋体"/>
          <w:b/>
          <w:bCs/>
          <w:sz w:val="24"/>
          <w:szCs w:val="24"/>
        </w:rPr>
        <w:t>一、重要提示</w:t>
      </w:r>
      <w:bookmarkEnd w:id="0"/>
    </w:p>
    <w:p>
      <w:pPr>
        <w:keepNext w:val="0"/>
        <w:keepLines w:val="0"/>
        <w:pageBreakBefore w:val="0"/>
        <w:widowControl w:val="0"/>
        <w:kinsoku/>
        <w:wordWrap/>
        <w:overflowPunct/>
        <w:topLinePunct w:val="0"/>
        <w:autoSpaceDE/>
        <w:autoSpaceDN/>
        <w:bidi w:val="0"/>
        <w:adjustRightInd/>
        <w:snapToGrid/>
        <w:spacing w:before="40" w:after="4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本半年度报告摘要来自半年度报告全文，为全面了解本公司的经营成果、财务状况及未来发展规划，投资者应当到证监会指定媒体仔细阅读半年度报告全文。</w:t>
      </w:r>
    </w:p>
    <w:p>
      <w:pPr>
        <w:keepNext w:val="0"/>
        <w:keepLines w:val="0"/>
        <w:pageBreakBefore w:val="0"/>
        <w:widowControl w:val="0"/>
        <w:kinsoku/>
        <w:wordWrap/>
        <w:overflowPunct/>
        <w:topLinePunct w:val="0"/>
        <w:autoSpaceDE/>
        <w:autoSpaceDN/>
        <w:bidi w:val="0"/>
        <w:adjustRightInd/>
        <w:snapToGrid/>
        <w:spacing w:before="0" w:after="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所有董事均已出席了审议本报告的董事会会议。</w:t>
      </w:r>
    </w:p>
    <w:p>
      <w:pPr>
        <w:keepNext w:val="0"/>
        <w:keepLines w:val="0"/>
        <w:pageBreakBefore w:val="0"/>
        <w:widowControl w:val="0"/>
        <w:kinsoku/>
        <w:wordWrap/>
        <w:overflowPunct/>
        <w:topLinePunct w:val="0"/>
        <w:autoSpaceDE/>
        <w:autoSpaceDN/>
        <w:bidi w:val="0"/>
        <w:adjustRightInd/>
        <w:snapToGrid/>
        <w:spacing w:before="100" w:after="10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非标准审计意见提示</w:t>
      </w:r>
    </w:p>
    <w:p>
      <w:pPr>
        <w:keepNext w:val="0"/>
        <w:keepLines w:val="0"/>
        <w:pageBreakBefore w:val="0"/>
        <w:widowControl w:val="0"/>
        <w:kinsoku/>
        <w:wordWrap/>
        <w:overflowPunct/>
        <w:topLinePunct w:val="0"/>
        <w:autoSpaceDE/>
        <w:autoSpaceDN/>
        <w:bidi w:val="0"/>
        <w:adjustRightInd/>
        <w:snapToGrid/>
        <w:spacing w:before="0" w:after="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□适用 </w:t>
      </w:r>
      <w:r>
        <w:rPr>
          <w:rFonts w:hint="eastAsia" w:ascii="宋体" w:hAnsi="宋体" w:cs="宋体"/>
          <w:sz w:val="24"/>
          <w:szCs w:val="24"/>
          <w:lang w:val="en-US" w:eastAsia="zh-CN"/>
        </w:rPr>
        <w:t>√</w:t>
      </w:r>
      <w:r>
        <w:rPr>
          <w:rFonts w:hint="eastAsia" w:ascii="宋体" w:hAnsi="宋体" w:eastAsia="宋体" w:cs="宋体"/>
          <w:sz w:val="24"/>
          <w:szCs w:val="24"/>
        </w:rPr>
        <w:t>不适用</w:t>
      </w:r>
    </w:p>
    <w:p>
      <w:pPr>
        <w:keepNext w:val="0"/>
        <w:keepLines w:val="0"/>
        <w:pageBreakBefore w:val="0"/>
        <w:widowControl w:val="0"/>
        <w:kinsoku/>
        <w:wordWrap/>
        <w:overflowPunct/>
        <w:topLinePunct w:val="0"/>
        <w:autoSpaceDE/>
        <w:autoSpaceDN/>
        <w:bidi w:val="0"/>
        <w:adjustRightInd/>
        <w:snapToGrid/>
        <w:spacing w:before="100" w:after="4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董事会审议的报告期普通股利润分配预案或公积金转增股本预案</w:t>
      </w:r>
    </w:p>
    <w:p>
      <w:pPr>
        <w:keepNext w:val="0"/>
        <w:keepLines w:val="0"/>
        <w:pageBreakBefore w:val="0"/>
        <w:widowControl w:val="0"/>
        <w:kinsoku/>
        <w:wordWrap/>
        <w:overflowPunct/>
        <w:topLinePunct w:val="0"/>
        <w:autoSpaceDE/>
        <w:autoSpaceDN/>
        <w:bidi w:val="0"/>
        <w:adjustRightInd/>
        <w:snapToGrid/>
        <w:spacing w:before="0" w:after="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□适用 </w:t>
      </w:r>
      <w:r>
        <w:rPr>
          <w:rFonts w:hint="eastAsia" w:ascii="宋体" w:hAnsi="宋体" w:cs="宋体"/>
          <w:sz w:val="24"/>
          <w:szCs w:val="24"/>
          <w:lang w:val="en-US" w:eastAsia="zh-CN"/>
        </w:rPr>
        <w:t>√</w:t>
      </w:r>
      <w:r>
        <w:rPr>
          <w:rFonts w:hint="eastAsia" w:ascii="宋体" w:hAnsi="宋体" w:eastAsia="宋体" w:cs="宋体"/>
          <w:sz w:val="24"/>
          <w:szCs w:val="24"/>
        </w:rPr>
        <w:t>不适用</w:t>
      </w:r>
    </w:p>
    <w:p>
      <w:pPr>
        <w:keepNext w:val="0"/>
        <w:keepLines w:val="0"/>
        <w:pageBreakBefore w:val="0"/>
        <w:widowControl w:val="0"/>
        <w:kinsoku/>
        <w:wordWrap/>
        <w:overflowPunct/>
        <w:topLinePunct w:val="0"/>
        <w:autoSpaceDE/>
        <w:autoSpaceDN/>
        <w:bidi w:val="0"/>
        <w:adjustRightInd/>
        <w:snapToGrid/>
        <w:spacing w:before="40" w:after="4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公司计划不派发现金红利，不送红股，不以公积金转增股本。</w:t>
      </w:r>
    </w:p>
    <w:p>
      <w:pPr>
        <w:keepNext w:val="0"/>
        <w:keepLines w:val="0"/>
        <w:pageBreakBefore w:val="0"/>
        <w:widowControl w:val="0"/>
        <w:kinsoku/>
        <w:wordWrap/>
        <w:overflowPunct/>
        <w:topLinePunct w:val="0"/>
        <w:autoSpaceDE/>
        <w:autoSpaceDN/>
        <w:bidi w:val="0"/>
        <w:adjustRightInd/>
        <w:snapToGrid/>
        <w:spacing w:before="100" w:after="10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董事会决议通过的本报告期优先股利润分配预案</w:t>
      </w:r>
    </w:p>
    <w:p>
      <w:pPr>
        <w:keepNext w:val="0"/>
        <w:keepLines w:val="0"/>
        <w:pageBreakBefore w:val="0"/>
        <w:widowControl w:val="0"/>
        <w:kinsoku/>
        <w:wordWrap/>
        <w:overflowPunct/>
        <w:topLinePunct w:val="0"/>
        <w:autoSpaceDE/>
        <w:autoSpaceDN/>
        <w:bidi w:val="0"/>
        <w:adjustRightInd/>
        <w:snapToGrid/>
        <w:spacing w:before="0" w:after="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□适用 </w:t>
      </w:r>
      <w:r>
        <w:rPr>
          <w:rFonts w:hint="eastAsia" w:ascii="宋体" w:hAnsi="宋体" w:cs="宋体"/>
          <w:sz w:val="24"/>
          <w:szCs w:val="24"/>
          <w:lang w:val="en-US" w:eastAsia="zh-CN"/>
        </w:rPr>
        <w:t>√</w:t>
      </w:r>
      <w:r>
        <w:rPr>
          <w:rFonts w:hint="eastAsia" w:ascii="宋体" w:hAnsi="宋体" w:eastAsia="宋体" w:cs="宋体"/>
          <w:sz w:val="24"/>
          <w:szCs w:val="24"/>
        </w:rPr>
        <w:t>不适用</w:t>
      </w:r>
    </w:p>
    <w:p>
      <w:pPr>
        <w:keepNext/>
        <w:keepLines/>
        <w:spacing w:before="300" w:after="300" w:line="320" w:lineRule="exact"/>
        <w:jc w:val="left"/>
        <w:outlineLvl w:val="1"/>
        <w:rPr>
          <w:rFonts w:ascii="宋体" w:hAnsi="宋体" w:eastAsia="宋体" w:cs="宋体"/>
          <w:b/>
          <w:bCs/>
          <w:sz w:val="24"/>
          <w:szCs w:val="24"/>
        </w:rPr>
      </w:pPr>
      <w:bookmarkStart w:id="1" w:name="_Toc988890"/>
      <w:r>
        <w:rPr>
          <w:rFonts w:ascii="宋体" w:hAnsi="宋体" w:eastAsia="宋体" w:cs="宋体"/>
          <w:b/>
          <w:bCs/>
          <w:sz w:val="24"/>
          <w:szCs w:val="24"/>
        </w:rPr>
        <w:t>二、公司基本情况</w:t>
      </w:r>
      <w:bookmarkEnd w:id="1"/>
    </w:p>
    <w:p>
      <w:pPr>
        <w:keepNext/>
        <w:keepLines/>
        <w:spacing w:before="300" w:after="300" w:line="280" w:lineRule="exact"/>
        <w:jc w:val="left"/>
        <w:outlineLvl w:val="2"/>
        <w:rPr>
          <w:rFonts w:ascii="宋体" w:hAnsi="宋体" w:eastAsia="宋体" w:cs="宋体"/>
          <w:b/>
          <w:bCs/>
          <w:sz w:val="24"/>
          <w:szCs w:val="24"/>
        </w:rPr>
      </w:pPr>
      <w:bookmarkStart w:id="2" w:name="_Toc988891"/>
      <w:r>
        <w:rPr>
          <w:rFonts w:ascii="宋体" w:hAnsi="宋体" w:eastAsia="宋体" w:cs="宋体"/>
          <w:b/>
          <w:bCs/>
          <w:sz w:val="24"/>
          <w:szCs w:val="24"/>
        </w:rPr>
        <w:t>1、公司简介</w:t>
      </w:r>
      <w:bookmarkEnd w:id="2"/>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71"/>
        <w:gridCol w:w="3084"/>
        <w:gridCol w:w="641"/>
        <w:gridCol w:w="1501"/>
        <w:gridCol w:w="21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Autospacing="0" w:line="360" w:lineRule="auto"/>
              <w:jc w:val="center"/>
              <w:rPr>
                <w:rFonts w:ascii="宋体" w:hAnsi="宋体" w:eastAsia="宋体" w:cs="宋体"/>
                <w:sz w:val="21"/>
                <w:szCs w:val="21"/>
              </w:rPr>
            </w:pPr>
            <w:r>
              <w:rPr>
                <w:rFonts w:ascii="宋体" w:hAnsi="宋体" w:eastAsia="宋体" w:cs="宋体"/>
                <w:sz w:val="21"/>
                <w:szCs w:val="21"/>
              </w:rPr>
              <w:t>股票简称</w:t>
            </w:r>
          </w:p>
        </w:tc>
        <w:tc>
          <w:tcPr>
            <w:tcW w:w="3084" w:type="dxa"/>
            <w:tcBorders>
              <w:top w:val="single" w:color="auto" w:sz="2" w:space="0"/>
              <w:left w:val="single" w:color="auto" w:sz="2" w:space="0"/>
              <w:bottom w:val="single" w:color="auto" w:sz="2" w:space="0"/>
              <w:right w:val="single" w:color="auto" w:sz="2" w:space="0"/>
            </w:tcBorders>
            <w:vAlign w:val="center"/>
          </w:tcPr>
          <w:p>
            <w:pPr>
              <w:spacing w:before="0" w:after="0" w:line="360" w:lineRule="auto"/>
              <w:jc w:val="left"/>
              <w:rPr>
                <w:rFonts w:ascii="宋体" w:hAnsi="宋体" w:eastAsia="宋体" w:cs="宋体"/>
                <w:sz w:val="21"/>
                <w:szCs w:val="21"/>
              </w:rPr>
            </w:pPr>
            <w:r>
              <w:rPr>
                <w:rFonts w:ascii="宋体" w:hAnsi="宋体" w:eastAsia="宋体" w:cs="宋体"/>
                <w:sz w:val="21"/>
                <w:szCs w:val="21"/>
              </w:rPr>
              <w:t>兔宝宝</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auto"/>
              <w:jc w:val="left"/>
              <w:rPr>
                <w:rFonts w:ascii="宋体" w:hAnsi="宋体" w:eastAsia="宋体" w:cs="宋体"/>
                <w:sz w:val="21"/>
                <w:szCs w:val="21"/>
              </w:rPr>
            </w:pPr>
            <w:r>
              <w:rPr>
                <w:rFonts w:ascii="宋体" w:hAnsi="宋体" w:eastAsia="宋体" w:cs="宋体"/>
                <w:sz w:val="21"/>
                <w:szCs w:val="21"/>
              </w:rPr>
              <w:t>股票代码</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360" w:lineRule="auto"/>
              <w:jc w:val="left"/>
              <w:rPr>
                <w:rFonts w:ascii="宋体" w:hAnsi="宋体" w:eastAsia="宋体" w:cs="宋体"/>
                <w:sz w:val="21"/>
                <w:szCs w:val="21"/>
              </w:rPr>
            </w:pPr>
            <w:r>
              <w:rPr>
                <w:rFonts w:ascii="宋体" w:hAnsi="宋体" w:eastAsia="宋体" w:cs="宋体"/>
                <w:sz w:val="21"/>
                <w:szCs w:val="21"/>
              </w:rPr>
              <w:t>002043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Autospacing="0" w:line="360" w:lineRule="auto"/>
              <w:jc w:val="center"/>
              <w:rPr>
                <w:rFonts w:ascii="宋体" w:hAnsi="宋体" w:eastAsia="宋体" w:cs="宋体"/>
                <w:sz w:val="21"/>
                <w:szCs w:val="21"/>
              </w:rPr>
            </w:pPr>
            <w:r>
              <w:rPr>
                <w:rFonts w:ascii="宋体" w:hAnsi="宋体" w:eastAsia="宋体" w:cs="宋体"/>
                <w:sz w:val="21"/>
                <w:szCs w:val="21"/>
              </w:rPr>
              <w:t>股票上市交易所</w:t>
            </w:r>
          </w:p>
        </w:tc>
        <w:tc>
          <w:tcPr>
            <w:tcW w:w="7368" w:type="dxa"/>
            <w:gridSpan w:val="4"/>
            <w:tcBorders>
              <w:top w:val="single" w:color="auto" w:sz="2" w:space="0"/>
              <w:left w:val="single" w:color="auto" w:sz="2" w:space="0"/>
              <w:bottom w:val="single" w:color="auto" w:sz="2" w:space="0"/>
              <w:right w:val="single" w:color="auto" w:sz="2" w:space="0"/>
            </w:tcBorders>
            <w:vAlign w:val="center"/>
          </w:tcPr>
          <w:p>
            <w:pPr>
              <w:spacing w:before="0" w:after="0" w:line="360" w:lineRule="auto"/>
              <w:jc w:val="left"/>
              <w:rPr>
                <w:rFonts w:ascii="宋体" w:hAnsi="宋体" w:eastAsia="宋体" w:cs="宋体"/>
                <w:sz w:val="21"/>
                <w:szCs w:val="21"/>
              </w:rPr>
            </w:pPr>
            <w:r>
              <w:rPr>
                <w:rFonts w:ascii="宋体" w:hAnsi="宋体" w:eastAsia="宋体" w:cs="宋体"/>
                <w:sz w:val="21"/>
                <w:szCs w:val="21"/>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38" w:hRule="atLeast"/>
        </w:trPr>
        <w:tc>
          <w:tcPr>
            <w:tcW w:w="22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Autospacing="0" w:line="360" w:lineRule="auto"/>
              <w:jc w:val="center"/>
              <w:rPr>
                <w:rFonts w:ascii="宋体" w:hAnsi="宋体" w:eastAsia="宋体" w:cs="宋体"/>
                <w:sz w:val="21"/>
                <w:szCs w:val="21"/>
              </w:rPr>
            </w:pPr>
            <w:r>
              <w:rPr>
                <w:rFonts w:ascii="宋体" w:hAnsi="宋体" w:eastAsia="宋体" w:cs="宋体"/>
                <w:sz w:val="21"/>
                <w:szCs w:val="21"/>
              </w:rPr>
              <w:t>联系人和联系方式</w:t>
            </w:r>
          </w:p>
        </w:tc>
        <w:tc>
          <w:tcPr>
            <w:tcW w:w="372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auto"/>
              <w:jc w:val="center"/>
              <w:rPr>
                <w:rFonts w:ascii="宋体" w:hAnsi="宋体" w:eastAsia="宋体" w:cs="宋体"/>
                <w:sz w:val="21"/>
                <w:szCs w:val="21"/>
              </w:rPr>
            </w:pPr>
            <w:r>
              <w:rPr>
                <w:rFonts w:ascii="宋体" w:hAnsi="宋体" w:eastAsia="宋体" w:cs="宋体"/>
                <w:sz w:val="21"/>
                <w:szCs w:val="21"/>
              </w:rPr>
              <w:t>董事会秘书</w:t>
            </w:r>
          </w:p>
        </w:tc>
        <w:tc>
          <w:tcPr>
            <w:tcW w:w="364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auto"/>
              <w:jc w:val="center"/>
              <w:rPr>
                <w:rFonts w:ascii="宋体" w:hAnsi="宋体" w:eastAsia="宋体" w:cs="宋体"/>
                <w:sz w:val="21"/>
                <w:szCs w:val="21"/>
              </w:rPr>
            </w:pPr>
            <w:r>
              <w:rPr>
                <w:rFonts w:ascii="宋体" w:hAnsi="宋体" w:eastAsia="宋体" w:cs="宋体"/>
                <w:sz w:val="21"/>
                <w:szCs w:val="21"/>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78" w:hRule="atLeast"/>
        </w:trPr>
        <w:tc>
          <w:tcPr>
            <w:tcW w:w="22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Autospacing="0" w:line="360" w:lineRule="auto"/>
              <w:jc w:val="center"/>
              <w:rPr>
                <w:rFonts w:ascii="宋体" w:hAnsi="宋体" w:eastAsia="宋体" w:cs="宋体"/>
                <w:sz w:val="21"/>
                <w:szCs w:val="21"/>
              </w:rPr>
            </w:pPr>
            <w:r>
              <w:rPr>
                <w:rFonts w:ascii="宋体" w:hAnsi="宋体" w:eastAsia="宋体" w:cs="宋体"/>
                <w:sz w:val="21"/>
                <w:szCs w:val="21"/>
              </w:rPr>
              <w:t>姓名</w:t>
            </w:r>
          </w:p>
        </w:tc>
        <w:tc>
          <w:tcPr>
            <w:tcW w:w="3725"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丁涛</w:t>
            </w:r>
          </w:p>
        </w:tc>
        <w:tc>
          <w:tcPr>
            <w:tcW w:w="3643"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朱丹莎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Autospacing="0" w:line="360" w:lineRule="auto"/>
              <w:jc w:val="center"/>
              <w:rPr>
                <w:rFonts w:ascii="宋体" w:hAnsi="宋体" w:eastAsia="宋体" w:cs="宋体"/>
                <w:sz w:val="21"/>
                <w:szCs w:val="21"/>
              </w:rPr>
            </w:pPr>
            <w:r>
              <w:rPr>
                <w:rFonts w:ascii="宋体" w:hAnsi="宋体" w:eastAsia="宋体" w:cs="宋体"/>
                <w:sz w:val="21"/>
                <w:szCs w:val="21"/>
              </w:rPr>
              <w:t>办公地址</w:t>
            </w:r>
          </w:p>
        </w:tc>
        <w:tc>
          <w:tcPr>
            <w:tcW w:w="3725"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浙江省德清县阜溪街道临溪街588 号</w:t>
            </w:r>
          </w:p>
        </w:tc>
        <w:tc>
          <w:tcPr>
            <w:tcW w:w="3643"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浙江省德清县阜溪街道临溪街588 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Autospacing="0" w:line="360" w:lineRule="auto"/>
              <w:jc w:val="center"/>
              <w:rPr>
                <w:rFonts w:ascii="宋体" w:hAnsi="宋体" w:eastAsia="宋体" w:cs="宋体"/>
                <w:sz w:val="21"/>
                <w:szCs w:val="21"/>
              </w:rPr>
            </w:pPr>
            <w:r>
              <w:rPr>
                <w:rFonts w:ascii="宋体" w:hAnsi="宋体" w:eastAsia="宋体" w:cs="宋体"/>
                <w:sz w:val="21"/>
                <w:szCs w:val="21"/>
              </w:rPr>
              <w:t>电话</w:t>
            </w:r>
          </w:p>
        </w:tc>
        <w:tc>
          <w:tcPr>
            <w:tcW w:w="3725"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0572-8405635</w:t>
            </w:r>
          </w:p>
        </w:tc>
        <w:tc>
          <w:tcPr>
            <w:tcW w:w="3643"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0572-8405635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Autospacing="0" w:line="360" w:lineRule="auto"/>
              <w:jc w:val="center"/>
              <w:rPr>
                <w:rFonts w:ascii="宋体" w:hAnsi="宋体" w:eastAsia="宋体" w:cs="宋体"/>
                <w:sz w:val="21"/>
                <w:szCs w:val="21"/>
              </w:rPr>
            </w:pPr>
            <w:r>
              <w:rPr>
                <w:rFonts w:ascii="宋体" w:hAnsi="宋体" w:eastAsia="宋体" w:cs="宋体"/>
                <w:sz w:val="21"/>
                <w:szCs w:val="21"/>
              </w:rPr>
              <w:t>电子信箱</w:t>
            </w:r>
          </w:p>
        </w:tc>
        <w:tc>
          <w:tcPr>
            <w:tcW w:w="3725"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dingtao@dhwooden.com</w:t>
            </w:r>
          </w:p>
        </w:tc>
        <w:tc>
          <w:tcPr>
            <w:tcW w:w="3643" w:type="dxa"/>
            <w:gridSpan w:val="2"/>
            <w:tcBorders>
              <w:top w:val="single" w:color="auto" w:sz="2" w:space="0"/>
              <w:left w:val="single" w:color="auto" w:sz="2" w:space="0"/>
              <w:bottom w:val="single" w:color="auto" w:sz="2" w:space="0"/>
              <w:right w:val="single" w:color="auto" w:sz="2" w:space="0"/>
            </w:tcBorders>
            <w:vAlign w:val="center"/>
          </w:tcPr>
          <w:p>
            <w:pPr>
              <w:spacing w:before="0" w:after="0" w:line="360" w:lineRule="auto"/>
              <w:jc w:val="both"/>
              <w:rPr>
                <w:rFonts w:ascii="宋体" w:hAnsi="宋体" w:eastAsia="宋体" w:cs="宋体"/>
                <w:sz w:val="21"/>
                <w:szCs w:val="21"/>
              </w:rPr>
            </w:pPr>
            <w:r>
              <w:rPr>
                <w:rFonts w:ascii="宋体" w:hAnsi="宋体" w:eastAsia="宋体" w:cs="宋体"/>
                <w:sz w:val="21"/>
                <w:szCs w:val="21"/>
              </w:rPr>
              <w:t>zds@dhwooden.com</w:t>
            </w:r>
          </w:p>
        </w:tc>
      </w:tr>
    </w:tbl>
    <w:p>
      <w:pPr>
        <w:keepNext/>
        <w:keepLines/>
        <w:spacing w:before="300" w:after="300" w:line="280" w:lineRule="exact"/>
        <w:jc w:val="left"/>
        <w:outlineLvl w:val="2"/>
        <w:rPr>
          <w:rFonts w:hint="eastAsia" w:ascii="宋体" w:hAnsi="宋体" w:eastAsia="宋体" w:cs="宋体"/>
          <w:b/>
          <w:bCs/>
          <w:sz w:val="24"/>
          <w:szCs w:val="24"/>
        </w:rPr>
      </w:pPr>
      <w:bookmarkStart w:id="3" w:name="_Toc988892"/>
      <w:r>
        <w:rPr>
          <w:rFonts w:hint="eastAsia" w:ascii="宋体" w:hAnsi="宋体" w:eastAsia="宋体" w:cs="宋体"/>
          <w:b/>
          <w:bCs/>
          <w:sz w:val="24"/>
          <w:szCs w:val="24"/>
        </w:rPr>
        <w:t>2、主要财务数据和财务指标</w:t>
      </w:r>
      <w:bookmarkEnd w:id="3"/>
    </w:p>
    <w:p>
      <w:pPr>
        <w:spacing w:before="0" w:after="0" w:line="240" w:lineRule="exact"/>
        <w:jc w:val="left"/>
        <w:rPr>
          <w:rFonts w:hint="eastAsia" w:ascii="宋体" w:hAnsi="宋体" w:eastAsia="宋体" w:cs="宋体"/>
          <w:sz w:val="21"/>
          <w:szCs w:val="21"/>
        </w:rPr>
      </w:pPr>
      <w:r>
        <w:rPr>
          <w:rFonts w:hint="eastAsia" w:ascii="宋体" w:hAnsi="宋体" w:eastAsia="宋体" w:cs="宋体"/>
          <w:sz w:val="21"/>
          <w:szCs w:val="21"/>
        </w:rPr>
        <w:t>公司是否需追溯调整或重述以前年度会计数据</w:t>
      </w:r>
    </w:p>
    <w:p>
      <w:pPr>
        <w:spacing w:before="40" w:after="40" w:line="240" w:lineRule="exact"/>
        <w:jc w:val="left"/>
        <w:rPr>
          <w:rFonts w:hint="eastAsia" w:ascii="宋体" w:hAnsi="宋体" w:eastAsia="宋体" w:cs="宋体"/>
          <w:sz w:val="21"/>
          <w:szCs w:val="21"/>
        </w:rPr>
      </w:pPr>
      <w:r>
        <w:rPr>
          <w:rFonts w:hint="eastAsia" w:ascii="宋体" w:hAnsi="宋体" w:eastAsia="宋体" w:cs="宋体"/>
          <w:sz w:val="21"/>
          <w:szCs w:val="21"/>
        </w:rPr>
        <w:t xml:space="preserve">□是 </w:t>
      </w:r>
      <w:r>
        <w:rPr>
          <w:rFonts w:hint="eastAsia" w:ascii="宋体" w:hAnsi="宋体" w:cs="宋体"/>
          <w:sz w:val="21"/>
          <w:szCs w:val="21"/>
          <w:lang w:val="en-US" w:eastAsia="zh-CN"/>
        </w:rPr>
        <w:t>√</w:t>
      </w:r>
      <w:r>
        <w:rPr>
          <w:rFonts w:hint="eastAsia" w:ascii="宋体" w:hAnsi="宋体" w:eastAsia="宋体" w:cs="宋体"/>
          <w:sz w:val="21"/>
          <w:szCs w:val="21"/>
        </w:rPr>
        <w:t>否</w:t>
      </w:r>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939"/>
        <w:gridCol w:w="1991"/>
        <w:gridCol w:w="2059"/>
        <w:gridCol w:w="16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sz w:val="21"/>
                <w:szCs w:val="21"/>
              </w:rPr>
            </w:pPr>
            <w:bookmarkStart w:id="4" w:name="_Toc988893"/>
          </w:p>
        </w:tc>
        <w:tc>
          <w:tcPr>
            <w:tcW w:w="1991"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center"/>
              <w:textAlignment w:val="auto"/>
              <w:rPr>
                <w:rFonts w:ascii="宋体" w:hAnsi="宋体" w:eastAsia="宋体" w:cs="宋体"/>
                <w:sz w:val="21"/>
                <w:szCs w:val="21"/>
              </w:rPr>
            </w:pPr>
            <w:r>
              <w:rPr>
                <w:rFonts w:ascii="宋体" w:hAnsi="宋体" w:eastAsia="宋体" w:cs="宋体"/>
                <w:sz w:val="21"/>
                <w:szCs w:val="21"/>
              </w:rPr>
              <w:t>本报告期</w:t>
            </w:r>
          </w:p>
        </w:tc>
        <w:tc>
          <w:tcPr>
            <w:tcW w:w="205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center"/>
              <w:textAlignment w:val="auto"/>
              <w:rPr>
                <w:rFonts w:ascii="宋体" w:hAnsi="宋体" w:eastAsia="宋体" w:cs="宋体"/>
                <w:sz w:val="21"/>
                <w:szCs w:val="21"/>
              </w:rPr>
            </w:pPr>
            <w:r>
              <w:rPr>
                <w:rFonts w:ascii="宋体" w:hAnsi="宋体" w:eastAsia="宋体" w:cs="宋体"/>
                <w:sz w:val="21"/>
                <w:szCs w:val="21"/>
              </w:rPr>
              <w:t>上年同期</w:t>
            </w:r>
          </w:p>
        </w:tc>
        <w:tc>
          <w:tcPr>
            <w:tcW w:w="1651"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center"/>
              <w:textAlignment w:val="auto"/>
              <w:rPr>
                <w:rFonts w:ascii="宋体" w:hAnsi="宋体" w:eastAsia="宋体" w:cs="宋体"/>
                <w:sz w:val="21"/>
                <w:szCs w:val="21"/>
              </w:rPr>
            </w:pPr>
            <w:r>
              <w:rPr>
                <w:rFonts w:ascii="宋体" w:hAnsi="宋体" w:eastAsia="宋体" w:cs="宋体"/>
                <w:sz w:val="21"/>
                <w:szCs w:val="21"/>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营业收入（元）</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3,732,372,449.17</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3,829,686,795.81</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归属于上市公司股东的净利润（元）</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266,624,280.40</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313,723,875.86</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-15.01%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归属于上市公司股东的扣除非经常性损益的净利润（元）</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highlight w:val="none"/>
              </w:rPr>
            </w:pPr>
            <w:r>
              <w:rPr>
                <w:rFonts w:hint="eastAsia" w:ascii="宋体" w:hAnsi="宋体" w:cs="宋体"/>
                <w:sz w:val="21"/>
                <w:szCs w:val="21"/>
                <w:highlight w:val="none"/>
                <w:lang w:val="en-US" w:eastAsia="zh-CN"/>
              </w:rPr>
              <w:t>214,329,422.27</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highlight w:val="none"/>
              </w:rPr>
            </w:pPr>
            <w:r>
              <w:rPr>
                <w:rFonts w:ascii="宋体" w:hAnsi="宋体" w:eastAsia="宋体" w:cs="宋体"/>
                <w:sz w:val="21"/>
                <w:szCs w:val="21"/>
                <w:highlight w:val="none"/>
              </w:rPr>
              <w:t>243,797,982.57</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highlight w:val="none"/>
              </w:rPr>
            </w:pPr>
            <w:r>
              <w:rPr>
                <w:rFonts w:hint="eastAsia" w:ascii="宋体" w:hAnsi="宋体" w:cs="宋体"/>
                <w:sz w:val="21"/>
                <w:szCs w:val="21"/>
                <w:highlight w:val="none"/>
                <w:lang w:val="en-US" w:eastAsia="zh-CN"/>
              </w:rPr>
              <w:t>-12.09</w:t>
            </w:r>
            <w:r>
              <w:rPr>
                <w:rFonts w:ascii="宋体" w:hAnsi="宋体" w:eastAsia="宋体" w:cs="宋体"/>
                <w:sz w:val="21"/>
                <w:szCs w:val="21"/>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经营活动产生的现金流量净额（元）</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-12,462,452.87</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174,487,782.53</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-107.14%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基本每股收益（元/股）</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0.34</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0.42</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稀释每股收益（元/股）</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0.34</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0.42</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加权平均净资产收益率</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13.25%</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15.92%</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-2.67%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sz w:val="21"/>
                <w:szCs w:val="21"/>
              </w:rPr>
            </w:pPr>
          </w:p>
        </w:tc>
        <w:tc>
          <w:tcPr>
            <w:tcW w:w="1991"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center"/>
              <w:textAlignment w:val="auto"/>
              <w:rPr>
                <w:rFonts w:ascii="宋体" w:hAnsi="宋体" w:eastAsia="宋体" w:cs="宋体"/>
                <w:sz w:val="21"/>
                <w:szCs w:val="21"/>
              </w:rPr>
            </w:pPr>
            <w:r>
              <w:rPr>
                <w:rFonts w:ascii="宋体" w:hAnsi="宋体" w:eastAsia="宋体" w:cs="宋体"/>
                <w:sz w:val="21"/>
                <w:szCs w:val="21"/>
              </w:rPr>
              <w:t>本报告期末</w:t>
            </w:r>
          </w:p>
        </w:tc>
        <w:tc>
          <w:tcPr>
            <w:tcW w:w="205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center"/>
              <w:textAlignment w:val="auto"/>
              <w:rPr>
                <w:rFonts w:ascii="宋体" w:hAnsi="宋体" w:eastAsia="宋体" w:cs="宋体"/>
                <w:sz w:val="21"/>
                <w:szCs w:val="21"/>
              </w:rPr>
            </w:pPr>
            <w:r>
              <w:rPr>
                <w:rFonts w:ascii="宋体" w:hAnsi="宋体" w:eastAsia="宋体" w:cs="宋体"/>
                <w:sz w:val="21"/>
                <w:szCs w:val="21"/>
              </w:rPr>
              <w:t>上年度末</w:t>
            </w:r>
          </w:p>
        </w:tc>
        <w:tc>
          <w:tcPr>
            <w:tcW w:w="1651"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center"/>
              <w:textAlignment w:val="auto"/>
              <w:rPr>
                <w:rFonts w:ascii="宋体" w:hAnsi="宋体" w:eastAsia="宋体" w:cs="宋体"/>
                <w:sz w:val="21"/>
                <w:szCs w:val="21"/>
              </w:rPr>
            </w:pPr>
            <w:r>
              <w:rPr>
                <w:rFonts w:ascii="宋体" w:hAnsi="宋体" w:eastAsia="宋体" w:cs="宋体"/>
                <w:sz w:val="21"/>
                <w:szCs w:val="21"/>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总资产（元）</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highlight w:val="none"/>
              </w:rPr>
            </w:pPr>
            <w:r>
              <w:rPr>
                <w:rFonts w:hint="eastAsia" w:ascii="宋体" w:hAnsi="宋体" w:eastAsia="宋体" w:cs="宋体"/>
                <w:sz w:val="21"/>
                <w:szCs w:val="21"/>
                <w:highlight w:val="none"/>
              </w:rPr>
              <w:t>5,331,497,010.49</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highlight w:val="none"/>
              </w:rPr>
            </w:pPr>
            <w:r>
              <w:rPr>
                <w:rFonts w:ascii="宋体" w:hAnsi="宋体" w:eastAsia="宋体" w:cs="宋体"/>
                <w:sz w:val="21"/>
                <w:szCs w:val="21"/>
                <w:highlight w:val="none"/>
              </w:rPr>
              <w:t>5,612,176,602.24</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highlight w:val="none"/>
              </w:rPr>
            </w:pPr>
            <w:r>
              <w:rPr>
                <w:rFonts w:ascii="宋体" w:hAnsi="宋体" w:eastAsia="宋体" w:cs="宋体"/>
                <w:sz w:val="21"/>
                <w:szCs w:val="21"/>
                <w:highlight w:val="none"/>
              </w:rPr>
              <w:t>-5.</w:t>
            </w:r>
            <w:r>
              <w:rPr>
                <w:rFonts w:hint="eastAsia" w:ascii="宋体" w:hAnsi="宋体" w:cs="宋体"/>
                <w:sz w:val="21"/>
                <w:szCs w:val="21"/>
                <w:highlight w:val="none"/>
                <w:lang w:val="en-US" w:eastAsia="zh-CN"/>
              </w:rPr>
              <w:t>00</w:t>
            </w:r>
            <w:r>
              <w:rPr>
                <w:rFonts w:ascii="宋体" w:hAnsi="宋体" w:eastAsia="宋体" w:cs="宋体"/>
                <w:sz w:val="21"/>
                <w:szCs w:val="21"/>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939" w:type="dxa"/>
            <w:tcBorders>
              <w:top w:val="single" w:color="auto" w:sz="2" w:space="0"/>
              <w:left w:val="single" w:color="auto" w:sz="2" w:space="0"/>
              <w:bottom w:val="single" w:color="auto" w:sz="2" w:space="0"/>
              <w:right w:val="single" w:color="auto" w:sz="2" w:space="0"/>
            </w:tcBorders>
            <w:shd w:val="clear" w:color="auto" w:fill="D3D3D3"/>
            <w:noWrap w:val="0"/>
            <w:vAlign w:val="center"/>
          </w:tcPr>
          <w:p>
            <w:pPr>
              <w:keepNext w:val="0"/>
              <w:keepLines w:val="0"/>
              <w:pageBreakBefore w:val="0"/>
              <w:widowControl w:val="0"/>
              <w:kinsoku/>
              <w:wordWrap/>
              <w:overflowPunct/>
              <w:topLinePunct w:val="0"/>
              <w:autoSpaceDE/>
              <w:autoSpaceDN/>
              <w:bidi w:val="0"/>
              <w:adjustRightInd/>
              <w:snapToGrid/>
              <w:spacing w:before="40" w:after="40" w:line="340" w:lineRule="exact"/>
              <w:jc w:val="left"/>
              <w:textAlignment w:val="auto"/>
              <w:rPr>
                <w:rFonts w:ascii="宋体" w:hAnsi="宋体" w:eastAsia="宋体" w:cs="宋体"/>
                <w:sz w:val="21"/>
                <w:szCs w:val="21"/>
              </w:rPr>
            </w:pPr>
            <w:r>
              <w:rPr>
                <w:rFonts w:ascii="宋体" w:hAnsi="宋体" w:eastAsia="宋体" w:cs="宋体"/>
                <w:sz w:val="21"/>
                <w:szCs w:val="21"/>
              </w:rPr>
              <w:t>归属于上市公司股东的净资产（元）</w:t>
            </w:r>
          </w:p>
        </w:tc>
        <w:tc>
          <w:tcPr>
            <w:tcW w:w="199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2,129,487,212.15</w:t>
            </w:r>
          </w:p>
        </w:tc>
        <w:tc>
          <w:tcPr>
            <w:tcW w:w="205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2,130,138,683.21</w:t>
            </w:r>
          </w:p>
        </w:tc>
        <w:tc>
          <w:tcPr>
            <w:tcW w:w="165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40" w:lineRule="exact"/>
              <w:jc w:val="right"/>
              <w:textAlignment w:val="auto"/>
              <w:rPr>
                <w:rFonts w:ascii="宋体" w:hAnsi="宋体" w:eastAsia="宋体" w:cs="宋体"/>
                <w:sz w:val="21"/>
                <w:szCs w:val="21"/>
              </w:rPr>
            </w:pPr>
            <w:r>
              <w:rPr>
                <w:rFonts w:ascii="宋体" w:hAnsi="宋体" w:eastAsia="宋体" w:cs="宋体"/>
                <w:sz w:val="21"/>
                <w:szCs w:val="21"/>
              </w:rPr>
              <w:t>-0.03%</w:t>
            </w:r>
          </w:p>
        </w:tc>
      </w:tr>
    </w:tbl>
    <w:p>
      <w:pPr>
        <w:keepNext/>
        <w:keepLines/>
        <w:spacing w:before="300" w:after="300" w:line="280" w:lineRule="exact"/>
        <w:jc w:val="left"/>
        <w:outlineLvl w:val="2"/>
        <w:rPr>
          <w:rFonts w:ascii="宋体" w:hAnsi="宋体" w:eastAsia="宋体" w:cs="宋体"/>
          <w:b/>
          <w:bCs/>
          <w:sz w:val="21"/>
          <w:szCs w:val="21"/>
        </w:rPr>
      </w:pPr>
      <w:r>
        <w:rPr>
          <w:rFonts w:ascii="宋体" w:hAnsi="宋体" w:eastAsia="宋体" w:cs="宋体"/>
          <w:b/>
          <w:bCs/>
          <w:sz w:val="21"/>
          <w:szCs w:val="21"/>
        </w:rPr>
        <w:t>3、公司股东数量及持股情况</w:t>
      </w:r>
      <w:bookmarkEnd w:id="4"/>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142"/>
        <w:gridCol w:w="1244"/>
        <w:gridCol w:w="898"/>
        <w:gridCol w:w="557"/>
        <w:gridCol w:w="885"/>
        <w:gridCol w:w="1035"/>
        <w:gridCol w:w="736"/>
        <w:gridCol w:w="134"/>
        <w:gridCol w:w="945"/>
        <w:gridCol w:w="10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3" w:hRule="atLeast"/>
        </w:trPr>
        <w:tc>
          <w:tcPr>
            <w:tcW w:w="21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auto"/>
              <w:jc w:val="left"/>
              <w:rPr>
                <w:rFonts w:ascii="宋体" w:hAnsi="宋体" w:eastAsia="宋体" w:cs="宋体"/>
                <w:sz w:val="21"/>
                <w:szCs w:val="21"/>
              </w:rPr>
            </w:pPr>
            <w:bookmarkStart w:id="9" w:name="_GoBack" w:colFirst="0" w:colLast="6"/>
            <w:r>
              <w:rPr>
                <w:rFonts w:ascii="宋体" w:hAnsi="宋体" w:eastAsia="宋体" w:cs="宋体"/>
                <w:sz w:val="21"/>
                <w:szCs w:val="21"/>
              </w:rPr>
              <w:t>报告期末普通股股东总数</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33,932</w:t>
            </w:r>
          </w:p>
        </w:tc>
        <w:tc>
          <w:tcPr>
            <w:tcW w:w="32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auto"/>
              <w:jc w:val="left"/>
              <w:rPr>
                <w:rFonts w:ascii="宋体" w:hAnsi="宋体" w:eastAsia="宋体" w:cs="宋体"/>
                <w:sz w:val="21"/>
                <w:szCs w:val="21"/>
              </w:rPr>
            </w:pPr>
            <w:r>
              <w:rPr>
                <w:rFonts w:ascii="宋体" w:hAnsi="宋体" w:eastAsia="宋体" w:cs="宋体"/>
                <w:sz w:val="21"/>
                <w:szCs w:val="21"/>
              </w:rPr>
              <w:t>报告期末表决权恢复的优先股股东总数（如有）</w:t>
            </w:r>
          </w:p>
        </w:tc>
        <w:tc>
          <w:tcPr>
            <w:tcW w:w="214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0</w:t>
            </w:r>
          </w:p>
        </w:tc>
      </w:tr>
      <w:bookmarkEnd w:id="9"/>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0"/>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auto"/>
              <w:jc w:val="center"/>
              <w:rPr>
                <w:rFonts w:ascii="宋体" w:hAnsi="宋体" w:eastAsia="宋体" w:cs="宋体"/>
                <w:sz w:val="21"/>
                <w:szCs w:val="21"/>
              </w:rPr>
            </w:pPr>
            <w:r>
              <w:rPr>
                <w:rFonts w:ascii="宋体" w:hAnsi="宋体" w:eastAsia="宋体" w:cs="宋体"/>
                <w:sz w:val="21"/>
                <w:szCs w:val="21"/>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股东名称</w:t>
            </w:r>
          </w:p>
        </w:tc>
        <w:tc>
          <w:tcPr>
            <w:tcW w:w="1455"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股东性质</w:t>
            </w:r>
          </w:p>
        </w:tc>
        <w:tc>
          <w:tcPr>
            <w:tcW w:w="88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持股比例</w:t>
            </w:r>
          </w:p>
        </w:tc>
        <w:tc>
          <w:tcPr>
            <w:tcW w:w="103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持股数量</w:t>
            </w:r>
          </w:p>
        </w:tc>
        <w:tc>
          <w:tcPr>
            <w:tcW w:w="870"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持有有限售条件的股份数量</w:t>
            </w:r>
          </w:p>
        </w:tc>
        <w:tc>
          <w:tcPr>
            <w:tcW w:w="200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1455"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88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103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870"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945" w:type="dxa"/>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股份状态</w:t>
            </w:r>
          </w:p>
        </w:tc>
        <w:tc>
          <w:tcPr>
            <w:tcW w:w="1063" w:type="dxa"/>
            <w:tcBorders>
              <w:top w:val="single" w:color="auto" w:sz="2" w:space="0"/>
              <w:left w:val="single" w:color="auto" w:sz="2" w:space="0"/>
              <w:bottom w:val="single" w:color="auto" w:sz="2" w:space="0"/>
              <w:right w:val="single" w:color="auto" w:sz="2" w:space="0"/>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before="40" w:after="40" w:line="240" w:lineRule="auto"/>
              <w:jc w:val="center"/>
              <w:textAlignment w:val="auto"/>
              <w:rPr>
                <w:rFonts w:ascii="宋体" w:hAnsi="宋体" w:eastAsia="宋体" w:cs="宋体"/>
                <w:sz w:val="21"/>
                <w:szCs w:val="21"/>
              </w:rPr>
            </w:pPr>
            <w:r>
              <w:rPr>
                <w:rFonts w:ascii="宋体" w:hAnsi="宋体" w:eastAsia="宋体" w:cs="宋体"/>
                <w:sz w:val="21"/>
                <w:szCs w:val="21"/>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德华集团控股股份有限公司</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29.68%</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229,344,885</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质押</w:t>
            </w: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131,000,000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德华创业投资有限公司</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6.57%</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50,813,008</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2"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漆勇</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境内自然人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4.38%</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33,860,000</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25,520,000</w:t>
            </w: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04"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丁鸿敏</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境内自然人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2.63%</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20,325,204</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15,243,903</w:t>
            </w: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基本养老保险基金一二零六组合</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1.89%</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14,636,125</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中国工商银行股份有限公司－海富通改革驱动灵活配置混合型证券投资基金</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1.67%</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12,903,582</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26"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德华兔宝宝装饰新材股份有限公司－第二期员工持股计划</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1.45%</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11,170,000</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9"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德华兔宝宝装饰新材股份有限公司－第一期员工持股计划</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1.20%</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9,296,400</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62"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中国建设银行股份有限公司－中欧价值发现股票型证券投资基金</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1.17%</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9,007,900</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基本养老保险基金一零零六组合</w:t>
            </w:r>
          </w:p>
        </w:tc>
        <w:tc>
          <w:tcPr>
            <w:tcW w:w="145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境内非国有法人</w:t>
            </w:r>
          </w:p>
        </w:tc>
        <w:tc>
          <w:tcPr>
            <w:tcW w:w="88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1.07%</w:t>
            </w:r>
          </w:p>
        </w:tc>
        <w:tc>
          <w:tcPr>
            <w:tcW w:w="103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r>
              <w:rPr>
                <w:rFonts w:ascii="宋体" w:hAnsi="宋体" w:eastAsia="宋体" w:cs="宋体"/>
                <w:sz w:val="21"/>
                <w:szCs w:val="21"/>
              </w:rPr>
              <w:t>8,298,244</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c>
          <w:tcPr>
            <w:tcW w:w="945"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p>
        </w:tc>
        <w:tc>
          <w:tcPr>
            <w:tcW w:w="1063" w:type="dxa"/>
            <w:tcBorders>
              <w:top w:val="single" w:color="auto" w:sz="2" w:space="0"/>
              <w:left w:val="single" w:color="auto" w:sz="2" w:space="0"/>
              <w:bottom w:val="single" w:color="auto" w:sz="2" w:space="0"/>
              <w:right w:val="single" w:color="auto" w:sz="2" w:space="0"/>
            </w:tcBorders>
            <w:vAlign w:val="center"/>
          </w:tcPr>
          <w:p>
            <w:pPr>
              <w:spacing w:before="0" w:after="0" w:line="240" w:lineRule="auto"/>
              <w:jc w:val="right"/>
              <w:rPr>
                <w:rFonts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021" w:hRule="atLeast"/>
        </w:trPr>
        <w:tc>
          <w:tcPr>
            <w:tcW w:w="338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auto"/>
              <w:jc w:val="left"/>
              <w:rPr>
                <w:rFonts w:ascii="宋体" w:hAnsi="宋体" w:eastAsia="宋体" w:cs="宋体"/>
                <w:sz w:val="21"/>
                <w:szCs w:val="21"/>
              </w:rPr>
            </w:pPr>
            <w:r>
              <w:rPr>
                <w:rFonts w:ascii="宋体" w:hAnsi="宋体" w:eastAsia="宋体" w:cs="宋体"/>
                <w:sz w:val="21"/>
                <w:szCs w:val="21"/>
              </w:rPr>
              <w:t>上述股东关联关系或一致行动的说明</w:t>
            </w:r>
          </w:p>
        </w:tc>
        <w:tc>
          <w:tcPr>
            <w:tcW w:w="6253"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前10名股东中，德华集团控股股份有限公司为本公司的控股股东，与公司实际控制人丁鸿敏及德华集团的控股子公司德华创业投资有限公司为一致行动人；与其他股东不存在关联关系，也不属于《上市公司收购管理办法》中规定的一致行动人。除此之外，本公司未知其他股东之间是否存在关联关系，也未知其他股东之间是否属于《上市公司收购管理办法》中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38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auto"/>
              <w:jc w:val="left"/>
              <w:rPr>
                <w:rFonts w:ascii="宋体" w:hAnsi="宋体" w:eastAsia="宋体" w:cs="宋体"/>
                <w:sz w:val="21"/>
                <w:szCs w:val="21"/>
              </w:rPr>
            </w:pPr>
            <w:r>
              <w:rPr>
                <w:rFonts w:ascii="宋体" w:hAnsi="宋体" w:eastAsia="宋体" w:cs="宋体"/>
                <w:sz w:val="21"/>
                <w:szCs w:val="21"/>
              </w:rPr>
              <w:t>参与融资融券业务股东情况说明（如有）</w:t>
            </w:r>
          </w:p>
        </w:tc>
        <w:tc>
          <w:tcPr>
            <w:tcW w:w="6253"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auto"/>
              <w:jc w:val="left"/>
              <w:rPr>
                <w:rFonts w:ascii="宋体" w:hAnsi="宋体" w:eastAsia="宋体" w:cs="宋体"/>
                <w:sz w:val="21"/>
                <w:szCs w:val="21"/>
              </w:rPr>
            </w:pPr>
            <w:r>
              <w:rPr>
                <w:rFonts w:ascii="宋体" w:hAnsi="宋体" w:eastAsia="宋体" w:cs="宋体"/>
                <w:sz w:val="21"/>
                <w:szCs w:val="21"/>
              </w:rPr>
              <w:t>无</w:t>
            </w:r>
          </w:p>
        </w:tc>
      </w:tr>
    </w:tbl>
    <w:p>
      <w:pPr>
        <w:keepNext/>
        <w:keepLines/>
        <w:pageBreakBefore w:val="0"/>
        <w:kinsoku/>
        <w:wordWrap/>
        <w:overflowPunct/>
        <w:topLinePunct w:val="0"/>
        <w:autoSpaceDE/>
        <w:autoSpaceDN/>
        <w:bidi w:val="0"/>
        <w:adjustRightInd/>
        <w:snapToGrid/>
        <w:spacing w:beforeAutospacing="0" w:after="78" w:afterLines="25" w:afterAutospacing="0" w:line="420" w:lineRule="exact"/>
        <w:jc w:val="left"/>
        <w:textAlignment w:val="auto"/>
        <w:outlineLvl w:val="2"/>
        <w:rPr>
          <w:rFonts w:hint="eastAsia" w:ascii="宋体" w:hAnsi="宋体" w:eastAsia="宋体" w:cs="宋体"/>
          <w:b/>
          <w:bCs/>
          <w:sz w:val="24"/>
          <w:szCs w:val="24"/>
        </w:rPr>
      </w:pPr>
      <w:bookmarkStart w:id="5" w:name="_Toc988894"/>
      <w:r>
        <w:rPr>
          <w:rFonts w:hint="eastAsia" w:ascii="宋体" w:hAnsi="宋体" w:eastAsia="宋体" w:cs="宋体"/>
          <w:b/>
          <w:bCs/>
          <w:sz w:val="24"/>
          <w:szCs w:val="24"/>
        </w:rPr>
        <w:t>4、控股股东或实际控制人变更情况</w:t>
      </w:r>
      <w:bookmarkEnd w:id="5"/>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控股股东报告期内变更</w:t>
      </w:r>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□适用 </w:t>
      </w:r>
      <w:r>
        <w:rPr>
          <w:rFonts w:hint="eastAsia" w:ascii="宋体" w:hAnsi="宋体" w:cs="宋体"/>
          <w:sz w:val="24"/>
          <w:szCs w:val="24"/>
          <w:lang w:val="en-US" w:eastAsia="zh-CN"/>
        </w:rPr>
        <w:t>√</w:t>
      </w:r>
      <w:r>
        <w:rPr>
          <w:rFonts w:hint="eastAsia" w:ascii="宋体" w:hAnsi="宋体" w:eastAsia="宋体" w:cs="宋体"/>
          <w:sz w:val="24"/>
          <w:szCs w:val="24"/>
        </w:rPr>
        <w:t>不适用</w:t>
      </w:r>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公司报告期控股股东未发生变更。</w:t>
      </w:r>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实际控制人报告期内变更</w:t>
      </w:r>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□适用 </w:t>
      </w:r>
      <w:r>
        <w:rPr>
          <w:rFonts w:hint="eastAsia" w:ascii="宋体" w:hAnsi="宋体" w:cs="宋体"/>
          <w:sz w:val="24"/>
          <w:szCs w:val="24"/>
          <w:lang w:val="en-US" w:eastAsia="zh-CN"/>
        </w:rPr>
        <w:t>√</w:t>
      </w:r>
      <w:r>
        <w:rPr>
          <w:rFonts w:hint="eastAsia" w:ascii="宋体" w:hAnsi="宋体" w:eastAsia="宋体" w:cs="宋体"/>
          <w:sz w:val="24"/>
          <w:szCs w:val="24"/>
        </w:rPr>
        <w:t>不适用</w:t>
      </w:r>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公司报告期实际控制人未发生变更。</w:t>
      </w:r>
    </w:p>
    <w:p>
      <w:pPr>
        <w:keepNext/>
        <w:keepLines/>
        <w:pageBreakBefore w:val="0"/>
        <w:kinsoku/>
        <w:wordWrap/>
        <w:overflowPunct/>
        <w:topLinePunct w:val="0"/>
        <w:autoSpaceDE/>
        <w:autoSpaceDN/>
        <w:bidi w:val="0"/>
        <w:adjustRightInd/>
        <w:snapToGrid/>
        <w:spacing w:beforeAutospacing="0" w:after="78" w:afterLines="25" w:afterAutospacing="0" w:line="420" w:lineRule="exact"/>
        <w:jc w:val="left"/>
        <w:textAlignment w:val="auto"/>
        <w:outlineLvl w:val="2"/>
        <w:rPr>
          <w:rFonts w:hint="eastAsia" w:ascii="宋体" w:hAnsi="宋体" w:eastAsia="宋体" w:cs="宋体"/>
          <w:b/>
          <w:bCs/>
          <w:sz w:val="24"/>
          <w:szCs w:val="24"/>
        </w:rPr>
      </w:pPr>
      <w:bookmarkStart w:id="6" w:name="_Toc988895"/>
      <w:r>
        <w:rPr>
          <w:rFonts w:hint="eastAsia" w:ascii="宋体" w:hAnsi="宋体" w:eastAsia="宋体" w:cs="宋体"/>
          <w:b/>
          <w:bCs/>
          <w:sz w:val="24"/>
          <w:szCs w:val="24"/>
        </w:rPr>
        <w:t>5、公司优先股股东总数及前10名优先股股东持股情况表</w:t>
      </w:r>
      <w:bookmarkEnd w:id="6"/>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公司报告期无优先股股东持股情况。</w:t>
      </w:r>
    </w:p>
    <w:p>
      <w:pPr>
        <w:keepNext/>
        <w:keepLines/>
        <w:pageBreakBefore w:val="0"/>
        <w:kinsoku/>
        <w:wordWrap/>
        <w:overflowPunct/>
        <w:topLinePunct w:val="0"/>
        <w:autoSpaceDE/>
        <w:autoSpaceDN/>
        <w:bidi w:val="0"/>
        <w:adjustRightInd/>
        <w:snapToGrid/>
        <w:spacing w:beforeAutospacing="0" w:after="78" w:afterLines="25" w:afterAutospacing="0" w:line="420" w:lineRule="exact"/>
        <w:jc w:val="left"/>
        <w:textAlignment w:val="auto"/>
        <w:outlineLvl w:val="2"/>
        <w:rPr>
          <w:rFonts w:hint="eastAsia" w:ascii="宋体" w:hAnsi="宋体" w:eastAsia="宋体" w:cs="宋体"/>
          <w:b/>
          <w:bCs/>
          <w:sz w:val="24"/>
          <w:szCs w:val="24"/>
        </w:rPr>
      </w:pPr>
      <w:bookmarkStart w:id="7" w:name="_Toc988896"/>
      <w:r>
        <w:rPr>
          <w:rFonts w:hint="eastAsia" w:ascii="宋体" w:hAnsi="宋体" w:eastAsia="宋体" w:cs="宋体"/>
          <w:b/>
          <w:bCs/>
          <w:sz w:val="24"/>
          <w:szCs w:val="24"/>
        </w:rPr>
        <w:t>6、在半年度报告批准报出日存续的债券情况</w:t>
      </w:r>
      <w:bookmarkEnd w:id="7"/>
    </w:p>
    <w:p>
      <w:pPr>
        <w:pageBreakBefore w:val="0"/>
        <w:kinsoku/>
        <w:wordWrap/>
        <w:overflowPunct/>
        <w:topLinePunct w:val="0"/>
        <w:autoSpaceDE/>
        <w:autoSpaceDN/>
        <w:bidi w:val="0"/>
        <w:adjustRightInd/>
        <w:snapToGrid/>
        <w:spacing w:beforeAutospacing="0" w:after="78" w:afterLines="25" w:afterAutospacing="0" w:line="4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□适用 </w:t>
      </w:r>
      <w:r>
        <w:rPr>
          <w:rFonts w:hint="eastAsia" w:ascii="宋体" w:hAnsi="宋体" w:cs="宋体"/>
          <w:sz w:val="24"/>
          <w:szCs w:val="24"/>
          <w:lang w:val="en-US" w:eastAsia="zh-CN"/>
        </w:rPr>
        <w:t>√</w:t>
      </w:r>
      <w:r>
        <w:rPr>
          <w:rFonts w:hint="eastAsia" w:ascii="宋体" w:hAnsi="宋体" w:eastAsia="宋体" w:cs="宋体"/>
          <w:sz w:val="24"/>
          <w:szCs w:val="24"/>
        </w:rPr>
        <w:t>不适用</w:t>
      </w:r>
    </w:p>
    <w:p>
      <w:pPr>
        <w:keepNext/>
        <w:keepLines/>
        <w:pageBreakBefore w:val="0"/>
        <w:kinsoku/>
        <w:wordWrap/>
        <w:overflowPunct/>
        <w:topLinePunct w:val="0"/>
        <w:autoSpaceDE/>
        <w:autoSpaceDN/>
        <w:bidi w:val="0"/>
        <w:adjustRightInd/>
        <w:snapToGrid/>
        <w:spacing w:beforeAutospacing="0" w:after="78" w:afterLines="25" w:afterAutospacing="0" w:line="420" w:lineRule="exact"/>
        <w:jc w:val="left"/>
        <w:textAlignment w:val="auto"/>
        <w:outlineLvl w:val="1"/>
        <w:rPr>
          <w:rFonts w:hint="eastAsia" w:ascii="宋体" w:hAnsi="宋体" w:eastAsia="宋体" w:cs="宋体"/>
          <w:b/>
          <w:bCs/>
          <w:sz w:val="24"/>
          <w:szCs w:val="24"/>
        </w:rPr>
      </w:pPr>
      <w:bookmarkStart w:id="8" w:name="_Toc988897"/>
      <w:r>
        <w:rPr>
          <w:rFonts w:hint="eastAsia" w:ascii="宋体" w:hAnsi="宋体" w:eastAsia="宋体" w:cs="宋体"/>
          <w:b/>
          <w:bCs/>
          <w:sz w:val="24"/>
          <w:szCs w:val="24"/>
        </w:rPr>
        <w:t>三、重要事项</w:t>
      </w:r>
      <w:bookmarkEnd w:id="8"/>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8" w:afterLines="25" w:afterAutospacing="0" w:line="420" w:lineRule="exact"/>
        <w:textAlignment w:val="auto"/>
        <w:rPr>
          <w:rFonts w:hint="eastAsia" w:ascii="宋体" w:hAnsi="宋体" w:eastAsia="宋体" w:cs="宋体"/>
          <w:sz w:val="24"/>
          <w:szCs w:val="24"/>
        </w:rPr>
      </w:pPr>
      <w:r>
        <w:rPr>
          <w:rFonts w:hint="eastAsia" w:ascii="宋体" w:hAnsi="宋体" w:eastAsia="宋体" w:cs="宋体"/>
          <w:sz w:val="24"/>
          <w:szCs w:val="24"/>
        </w:rPr>
        <w:t>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8" w:afterLines="25" w:afterAutospacing="0" w:line="420" w:lineRule="exact"/>
        <w:jc w:val="right"/>
        <w:textAlignment w:val="auto"/>
        <w:rPr>
          <w:rFonts w:hint="eastAsia" w:ascii="宋体" w:hAnsi="宋体" w:eastAsia="宋体" w:cs="宋体"/>
          <w:i w:val="0"/>
          <w:iCs w:val="0"/>
          <w:caps w:val="0"/>
          <w:spacing w:val="0"/>
          <w:sz w:val="24"/>
          <w:szCs w:val="2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8" w:afterLines="25" w:afterAutospacing="0" w:line="420" w:lineRule="exact"/>
        <w:jc w:val="right"/>
        <w:textAlignment w:val="auto"/>
        <w:rPr>
          <w:rFonts w:hint="eastAsia" w:ascii="宋体" w:hAnsi="宋体" w:eastAsia="宋体" w:cs="宋体"/>
          <w:i w:val="0"/>
          <w:iCs w:val="0"/>
          <w:caps w:val="0"/>
          <w:spacing w:val="0"/>
          <w:sz w:val="24"/>
          <w:szCs w:val="24"/>
          <w:shd w:val="clear" w:fill="FFFFFF"/>
        </w:rPr>
      </w:pPr>
      <w:r>
        <w:rPr>
          <w:rFonts w:hint="eastAsia" w:ascii="宋体" w:hAnsi="宋体" w:eastAsia="宋体" w:cs="宋体"/>
          <w:i w:val="0"/>
          <w:iCs w:val="0"/>
          <w:caps w:val="0"/>
          <w:spacing w:val="0"/>
          <w:sz w:val="24"/>
          <w:szCs w:val="24"/>
          <w:shd w:val="clear" w:fill="FFFFFF"/>
        </w:rPr>
        <w:t>德华兔宝宝装饰新材股份有限公司</w:t>
      </w:r>
    </w:p>
    <w:p>
      <w:pPr>
        <w:keepNext/>
        <w:keepLines/>
        <w:pageBreakBefore w:val="0"/>
        <w:kinsoku/>
        <w:wordWrap/>
        <w:overflowPunct/>
        <w:topLinePunct w:val="0"/>
        <w:autoSpaceDE/>
        <w:autoSpaceDN/>
        <w:bidi w:val="0"/>
        <w:adjustRightInd/>
        <w:snapToGrid/>
        <w:spacing w:beforeAutospacing="0" w:after="78" w:afterLines="25" w:afterAutospacing="0" w:line="420" w:lineRule="exact"/>
        <w:jc w:val="right"/>
        <w:textAlignment w:val="auto"/>
        <w:outlineLvl w:val="2"/>
        <w:rPr>
          <w:rFonts w:hint="eastAsia" w:ascii="宋体" w:hAnsi="宋体" w:eastAsia="宋体" w:cs="宋体"/>
          <w:i w:val="0"/>
          <w:iCs w:val="0"/>
          <w:caps w:val="0"/>
          <w:spacing w:val="0"/>
          <w:sz w:val="24"/>
          <w:szCs w:val="24"/>
          <w:shd w:val="clear" w:fill="FFFFFF"/>
        </w:rPr>
      </w:pPr>
      <w:r>
        <w:rPr>
          <w:rFonts w:hint="eastAsia" w:ascii="宋体" w:hAnsi="宋体" w:eastAsia="宋体" w:cs="宋体"/>
          <w:i w:val="0"/>
          <w:iCs w:val="0"/>
          <w:caps w:val="0"/>
          <w:spacing w:val="0"/>
          <w:sz w:val="24"/>
          <w:szCs w:val="24"/>
          <w:shd w:val="clear" w:fill="FFFFFF"/>
        </w:rPr>
        <w:t>董事长：丁鸿敏</w:t>
      </w:r>
    </w:p>
    <w:p>
      <w:pPr>
        <w:keepNext/>
        <w:keepLines/>
        <w:pageBreakBefore w:val="0"/>
        <w:kinsoku/>
        <w:wordWrap/>
        <w:overflowPunct/>
        <w:topLinePunct w:val="0"/>
        <w:autoSpaceDE/>
        <w:autoSpaceDN/>
        <w:bidi w:val="0"/>
        <w:adjustRightInd/>
        <w:snapToGrid/>
        <w:spacing w:beforeAutospacing="0" w:after="78" w:afterLines="25" w:afterAutospacing="0" w:line="420" w:lineRule="exact"/>
        <w:jc w:val="right"/>
        <w:textAlignment w:val="auto"/>
        <w:outlineLvl w:val="2"/>
        <w:rPr>
          <w:rFonts w:hint="eastAsia" w:ascii="宋体" w:hAnsi="宋体" w:eastAsia="宋体" w:cs="宋体"/>
          <w:sz w:val="18"/>
          <w:szCs w:val="18"/>
        </w:rPr>
      </w:pPr>
      <w:r>
        <w:rPr>
          <w:rFonts w:hint="eastAsia" w:ascii="宋体" w:hAnsi="宋体" w:eastAsia="宋体" w:cs="宋体"/>
          <w:i w:val="0"/>
          <w:iCs w:val="0"/>
          <w:caps w:val="0"/>
          <w:spacing w:val="0"/>
          <w:sz w:val="24"/>
          <w:szCs w:val="24"/>
          <w:shd w:val="clear" w:fill="FFFFFF"/>
        </w:rPr>
        <w:t>2</w:t>
      </w:r>
      <w:r>
        <w:rPr>
          <w:rFonts w:hint="eastAsia" w:ascii="宋体" w:hAnsi="宋体" w:eastAsia="宋体" w:cs="宋体"/>
          <w:i w:val="0"/>
          <w:iCs w:val="0"/>
          <w:caps w:val="0"/>
          <w:spacing w:val="0"/>
          <w:sz w:val="24"/>
          <w:szCs w:val="24"/>
          <w:shd w:val="clear" w:fill="FFFFFF"/>
          <w:lang w:val="en-US" w:eastAsia="zh-CN"/>
        </w:rPr>
        <w:t>022</w:t>
      </w:r>
      <w:r>
        <w:rPr>
          <w:rFonts w:hint="eastAsia" w:ascii="宋体" w:hAnsi="宋体" w:eastAsia="宋体" w:cs="宋体"/>
          <w:i w:val="0"/>
          <w:iCs w:val="0"/>
          <w:caps w:val="0"/>
          <w:spacing w:val="0"/>
          <w:sz w:val="24"/>
          <w:szCs w:val="24"/>
          <w:shd w:val="clear" w:fill="FFFFFF"/>
        </w:rPr>
        <w:t>年8月</w:t>
      </w:r>
      <w:r>
        <w:rPr>
          <w:rFonts w:hint="eastAsia" w:ascii="宋体" w:hAnsi="宋体" w:eastAsia="宋体" w:cs="宋体"/>
          <w:i w:val="0"/>
          <w:iCs w:val="0"/>
          <w:caps w:val="0"/>
          <w:spacing w:val="0"/>
          <w:sz w:val="24"/>
          <w:szCs w:val="24"/>
          <w:shd w:val="clear" w:fill="FFFFFF"/>
          <w:lang w:val="en-US" w:eastAsia="zh-CN"/>
        </w:rPr>
        <w:t>26</w:t>
      </w:r>
      <w:r>
        <w:rPr>
          <w:rFonts w:hint="eastAsia" w:ascii="宋体" w:hAnsi="宋体" w:eastAsia="宋体" w:cs="宋体"/>
          <w:i w:val="0"/>
          <w:iCs w:val="0"/>
          <w:caps w:val="0"/>
          <w:spacing w:val="0"/>
          <w:sz w:val="24"/>
          <w:szCs w:val="24"/>
          <w:shd w:val="clear" w:fill="FFFFFF"/>
        </w:rPr>
        <w:t>日</w:t>
      </w:r>
    </w:p>
    <w:sectPr>
      <w:headerReference r:id="rId3" w:type="default"/>
      <w:footerReference r:id="rId4" w:type="default"/>
      <w:pgSz w:w="11905" w:h="16840"/>
      <w:pgMar w:top="1134" w:right="1134" w:bottom="1134"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德华兔宝宝装饰新材股份有限公司2022年半年度报告摘要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compat>
    <w:doNotExpandShiftReturn/>
    <w:useFELayout/>
    <w:compatSetting w:name="compatibilityMode" w:uri="http://schemas.microsoft.com/office/word" w:val="14"/>
  </w:compat>
  <w:docVars>
    <w:docVar w:name="commondata" w:val="eyJoZGlkIjoiOTgzNDk3MTU1M2MxYjFmMGQ3OWYxZTlhZDIwMzM5NGMifQ=="/>
  </w:docVars>
  <w:rsids>
    <w:rsidRoot w:val="00000000"/>
    <w:rsid w:val="00D15707"/>
    <w:rsid w:val="37E97BBB"/>
    <w:rsid w:val="4F164A6F"/>
    <w:rsid w:val="525210BA"/>
    <w:rsid w:val="56401DB7"/>
    <w:rsid w:val="58CD4B93"/>
    <w:rsid w:val="5B016BD5"/>
    <w:rsid w:val="71826E69"/>
    <w:rsid w:val="742A4754"/>
    <w:rsid w:val="749312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1326</Words>
  <Characters>1816</Characters>
  <TotalTime>21</TotalTime>
  <ScaleCrop>false</ScaleCrop>
  <LinksUpToDate>false</LinksUpToDate>
  <CharactersWithSpaces>1851</CharactersWithSpaces>
  <Application>WPS Office_11.1.0.12353_F1E327BC-269C-435d-A152-05C5408002CA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2022-08-23T07:47:00Z</dcterms:created>
  <dc:creator>admin</dc:creator>
  <cp:lastModifiedBy>朱丹莎</cp:lastModifiedBy>
  <dcterms:modified xsi:type="dcterms:W3CDTF">2022-08-25T07:30:23Z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62959A455AB147B7B1FDF333D2E4E32C</vt:lpwstr>
  </property>
</Properties>
</file>