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color w:val="000000"/>
          <w:sz w:val="23"/>
        </w:rPr>
      </w:pPr>
      <w:r>
        <w:rPr>
          <w:rFonts w:hint="eastAsia" w:ascii="宋体" w:hAnsi="宋体"/>
          <w:color w:val="000000"/>
          <w:sz w:val="24"/>
          <w:szCs w:val="24"/>
        </w:rPr>
        <w:t>股票代码：002043             股票简称：兔宝宝             公告编号：2018-059</w:t>
      </w:r>
    </w:p>
    <w:p>
      <w:pPr>
        <w:spacing w:line="260" w:lineRule="exact"/>
        <w:jc w:val="center"/>
        <w:rPr>
          <w:rFonts w:ascii="宋体" w:hAnsi="宋体"/>
          <w:b/>
          <w:bCs/>
          <w:color w:val="000000"/>
          <w:szCs w:val="21"/>
        </w:rPr>
      </w:pPr>
    </w:p>
    <w:p>
      <w:pPr>
        <w:spacing w:line="420" w:lineRule="exact"/>
        <w:jc w:val="center"/>
        <w:rPr>
          <w:rFonts w:ascii="宋体" w:hAnsi="宋体"/>
          <w:b/>
          <w:bCs/>
          <w:color w:val="000000"/>
          <w:sz w:val="30"/>
        </w:rPr>
      </w:pPr>
      <w:r>
        <w:rPr>
          <w:rFonts w:hint="eastAsia" w:ascii="宋体" w:hAnsi="宋体"/>
          <w:b/>
          <w:bCs/>
          <w:color w:val="000000"/>
          <w:sz w:val="30"/>
        </w:rPr>
        <w:t>德华兔宝宝装饰新材股份有限公司</w:t>
      </w:r>
    </w:p>
    <w:p>
      <w:pPr>
        <w:spacing w:line="420" w:lineRule="exact"/>
        <w:jc w:val="center"/>
        <w:rPr>
          <w:rFonts w:ascii="宋体" w:hAnsi="宋体"/>
          <w:b/>
          <w:bCs/>
          <w:color w:val="000000"/>
          <w:sz w:val="30"/>
        </w:rPr>
      </w:pPr>
      <w:r>
        <w:rPr>
          <w:rFonts w:hint="eastAsia" w:ascii="宋体" w:hAnsi="宋体"/>
          <w:b/>
          <w:bCs/>
          <w:color w:val="000000"/>
          <w:sz w:val="30"/>
        </w:rPr>
        <w:t>关于回购股份注销完成暨股份变动的公告</w:t>
      </w:r>
    </w:p>
    <w:p>
      <w:pPr>
        <w:spacing w:line="420" w:lineRule="exact"/>
        <w:ind w:firstLine="480"/>
        <w:jc w:val="left"/>
        <w:rPr>
          <w:rFonts w:hint="eastAsia" w:ascii="宋体" w:hAnsi="宋体"/>
          <w:b/>
          <w:bCs/>
          <w:color w:val="000000"/>
          <w:sz w:val="24"/>
          <w:szCs w:val="24"/>
        </w:rPr>
      </w:pPr>
    </w:p>
    <w:p>
      <w:pPr>
        <w:spacing w:line="420" w:lineRule="exact"/>
        <w:ind w:firstLine="480"/>
        <w:jc w:val="left"/>
        <w:rPr>
          <w:rFonts w:ascii="宋体" w:hAnsi="宋体"/>
          <w:b/>
          <w:bCs/>
          <w:color w:val="000000"/>
          <w:sz w:val="24"/>
          <w:szCs w:val="24"/>
        </w:rPr>
      </w:pPr>
      <w:r>
        <w:rPr>
          <w:rFonts w:hint="eastAsia" w:ascii="宋体" w:hAnsi="宋体"/>
          <w:b/>
          <w:bCs/>
          <w:color w:val="000000"/>
          <w:sz w:val="24"/>
          <w:szCs w:val="24"/>
        </w:rPr>
        <w:t>本公司及董事会全体成员保证信息披露内容的真实、准确和完整，没有虚假记载、误导性陈述或重大遗漏。</w:t>
      </w:r>
    </w:p>
    <w:p>
      <w:pPr>
        <w:spacing w:line="420" w:lineRule="exact"/>
        <w:ind w:firstLine="480"/>
        <w:jc w:val="left"/>
        <w:rPr>
          <w:rFonts w:ascii="宋体" w:hAnsi="宋体"/>
          <w:bCs/>
          <w:sz w:val="24"/>
        </w:rPr>
      </w:pPr>
    </w:p>
    <w:p>
      <w:pPr>
        <w:spacing w:line="420" w:lineRule="exact"/>
        <w:ind w:firstLine="480"/>
        <w:jc w:val="left"/>
        <w:rPr>
          <w:rFonts w:ascii="宋体" w:hAnsi="宋体" w:cs="宋体"/>
          <w:color w:val="000000"/>
          <w:sz w:val="24"/>
          <w:szCs w:val="24"/>
        </w:rPr>
      </w:pPr>
      <w:r>
        <w:rPr>
          <w:rFonts w:hint="eastAsia" w:ascii="宋体" w:hAnsi="宋体"/>
          <w:bCs/>
          <w:sz w:val="24"/>
        </w:rPr>
        <w:t>德华兔宝宝装饰新材股份有限公司（以下简称“公司”）2018年2月27日召开的2018年第一次临时股东大会审议通过了《关于回购注销公司部分社会公众股份的预案》、</w:t>
      </w:r>
      <w:r>
        <w:rPr>
          <w:rStyle w:val="7"/>
          <w:rFonts w:hint="default"/>
        </w:rPr>
        <w:t>《关于提请股东大会授权公司董事会全权办理本次回购工作相关事宜的议案》</w:t>
      </w:r>
      <w:r>
        <w:rPr>
          <w:rFonts w:hint="eastAsia" w:ascii="宋体" w:hAnsi="宋体"/>
          <w:bCs/>
          <w:sz w:val="24"/>
        </w:rPr>
        <w:t>，</w:t>
      </w:r>
      <w:r>
        <w:rPr>
          <w:rFonts w:hint="eastAsia" w:ascii="宋体" w:hAnsi="宋体" w:cs="宋体"/>
          <w:color w:val="000000"/>
          <w:sz w:val="24"/>
          <w:szCs w:val="24"/>
        </w:rPr>
        <w:t>同意公司用自有资金回购公司部分社会公众股份，回购的股份用作注销以减少公司注册资本。2018年7月16日，本次回购股份已在中国证券登记结算有限责任公司深圳分公司办理完毕注销手续，现就回购股份注销完成暨股份变动情况披露如下：</w:t>
      </w:r>
    </w:p>
    <w:p>
      <w:pPr>
        <w:numPr>
          <w:ilvl w:val="0"/>
          <w:numId w:val="1"/>
        </w:numPr>
        <w:spacing w:beforeLines="50" w:afterLines="50" w:line="420" w:lineRule="exact"/>
        <w:ind w:left="420" w:leftChars="200"/>
        <w:jc w:val="left"/>
        <w:rPr>
          <w:rFonts w:ascii="宋体" w:hAnsi="宋体" w:cs="宋体"/>
          <w:b/>
          <w:bCs/>
          <w:color w:val="000000"/>
          <w:sz w:val="24"/>
          <w:szCs w:val="24"/>
        </w:rPr>
      </w:pPr>
      <w:r>
        <w:rPr>
          <w:rFonts w:hint="eastAsia" w:ascii="宋体" w:hAnsi="宋体" w:cs="宋体"/>
          <w:b/>
          <w:bCs/>
          <w:color w:val="000000"/>
          <w:sz w:val="24"/>
          <w:szCs w:val="24"/>
        </w:rPr>
        <w:t>回购股份的注销情况</w:t>
      </w:r>
    </w:p>
    <w:p>
      <w:pPr>
        <w:spacing w:line="420" w:lineRule="exact"/>
        <w:ind w:firstLine="480"/>
        <w:jc w:val="left"/>
        <w:rPr>
          <w:rFonts w:ascii="宋体" w:hAnsi="宋体"/>
          <w:bCs/>
          <w:sz w:val="24"/>
        </w:rPr>
      </w:pPr>
      <w:r>
        <w:rPr>
          <w:rFonts w:hint="eastAsia" w:ascii="宋体" w:hAnsi="宋体"/>
          <w:bCs/>
          <w:sz w:val="24"/>
        </w:rPr>
        <w:t>公司于2018年3月9日在中国证券登记结算有限责任公司深圳分公司开立回购专用证券账户，自2018年3月16日至2018年7月6日回购了</w:t>
      </w:r>
      <w:r>
        <w:rPr>
          <w:rFonts w:hint="eastAsia" w:ascii="宋体" w:hAnsi="宋体" w:cs="宋体"/>
          <w:sz w:val="24"/>
          <w:szCs w:val="24"/>
        </w:rPr>
        <w:t>32,192,082</w:t>
      </w:r>
      <w:r>
        <w:rPr>
          <w:rFonts w:hint="eastAsia" w:ascii="宋体" w:hAnsi="宋体"/>
          <w:bCs/>
          <w:sz w:val="24"/>
        </w:rPr>
        <w:t>股公司流通股份，依据相关规定，自股份过户到回购专用证券账户之日即失去其权利。公司于</w:t>
      </w:r>
      <w:r>
        <w:rPr>
          <w:rFonts w:hint="eastAsia" w:ascii="宋体" w:hAnsi="宋体" w:cs="宋体"/>
          <w:color w:val="000000"/>
          <w:sz w:val="24"/>
          <w:szCs w:val="24"/>
        </w:rPr>
        <w:t>2018年7月16日</w:t>
      </w:r>
      <w:r>
        <w:rPr>
          <w:rFonts w:hint="eastAsia" w:ascii="宋体" w:hAnsi="宋体"/>
          <w:bCs/>
          <w:sz w:val="24"/>
        </w:rPr>
        <w:t>在中国证券登记结算有限责任公司深圳分公司办理完毕股份回购注销手续。</w:t>
      </w:r>
    </w:p>
    <w:p>
      <w:pPr>
        <w:numPr>
          <w:ilvl w:val="0"/>
          <w:numId w:val="1"/>
        </w:numPr>
        <w:spacing w:beforeLines="50" w:afterLines="50" w:line="420" w:lineRule="exact"/>
        <w:ind w:left="420" w:leftChars="200"/>
        <w:jc w:val="left"/>
        <w:rPr>
          <w:rFonts w:ascii="宋体" w:hAnsi="宋体" w:cs="宋体"/>
          <w:color w:val="000000"/>
          <w:sz w:val="24"/>
          <w:szCs w:val="24"/>
        </w:rPr>
      </w:pPr>
      <w:r>
        <w:rPr>
          <w:rFonts w:hint="eastAsia" w:ascii="宋体" w:hAnsi="宋体" w:cs="宋体"/>
          <w:b/>
          <w:bCs/>
          <w:color w:val="000000"/>
          <w:sz w:val="24"/>
          <w:szCs w:val="24"/>
        </w:rPr>
        <w:t>股份变动原因</w:t>
      </w:r>
    </w:p>
    <w:p>
      <w:pPr>
        <w:spacing w:line="420" w:lineRule="exact"/>
        <w:ind w:firstLine="480" w:firstLineChars="200"/>
        <w:jc w:val="left"/>
        <w:rPr>
          <w:rFonts w:ascii="宋体" w:hAnsi="宋体" w:cs="宋体"/>
          <w:color w:val="000000"/>
          <w:sz w:val="24"/>
          <w:szCs w:val="24"/>
        </w:rPr>
      </w:pPr>
      <w:r>
        <w:rPr>
          <w:rFonts w:hint="eastAsia" w:ascii="宋体" w:hAnsi="宋体" w:cs="宋体"/>
          <w:color w:val="000000"/>
          <w:sz w:val="24"/>
          <w:szCs w:val="24"/>
        </w:rPr>
        <w:t>公司于2018年2月7日召开的第六届董事会第九次会议、</w:t>
      </w:r>
      <w:r>
        <w:rPr>
          <w:rFonts w:hint="eastAsia" w:ascii="宋体" w:hAnsi="宋体"/>
          <w:bCs/>
          <w:sz w:val="24"/>
        </w:rPr>
        <w:t>2018年2月27</w:t>
      </w:r>
      <w:r>
        <w:rPr>
          <w:rFonts w:hint="eastAsia" w:ascii="宋体" w:hAnsi="宋体" w:cs="宋体"/>
          <w:color w:val="000000"/>
          <w:sz w:val="24"/>
          <w:szCs w:val="24"/>
        </w:rPr>
        <w:t>日召开的2018年第一次临时股东大会审议通过了</w:t>
      </w:r>
      <w:r>
        <w:rPr>
          <w:rFonts w:hint="eastAsia" w:ascii="宋体" w:hAnsi="宋体"/>
          <w:bCs/>
          <w:sz w:val="24"/>
        </w:rPr>
        <w:t>《关于回购注销公司部分社会公众股份的预案》</w:t>
      </w:r>
      <w:r>
        <w:rPr>
          <w:rFonts w:hint="eastAsia" w:ascii="宋体" w:hAnsi="宋体" w:cs="宋体"/>
          <w:color w:val="000000"/>
          <w:sz w:val="24"/>
          <w:szCs w:val="24"/>
        </w:rPr>
        <w:t>，并于</w:t>
      </w:r>
      <w:r>
        <w:rPr>
          <w:rFonts w:hint="eastAsia" w:ascii="宋体" w:hAnsi="宋体" w:cs="宋体"/>
          <w:sz w:val="24"/>
          <w:szCs w:val="24"/>
        </w:rPr>
        <w:t>2018年3月16日披露了《回购报告书》</w:t>
      </w:r>
      <w:r>
        <w:rPr>
          <w:rFonts w:hint="eastAsia" w:ascii="宋体" w:hAnsi="宋体" w:cs="宋体"/>
          <w:color w:val="000000"/>
          <w:sz w:val="24"/>
          <w:szCs w:val="24"/>
        </w:rPr>
        <w:t>（公告编号：2018-014）。</w:t>
      </w:r>
    </w:p>
    <w:p>
      <w:pPr>
        <w:spacing w:line="420" w:lineRule="exact"/>
        <w:ind w:firstLine="480" w:firstLineChars="200"/>
        <w:rPr>
          <w:rFonts w:ascii="宋体" w:hAnsi="宋体" w:cs="宋体"/>
          <w:color w:val="000000"/>
          <w:sz w:val="24"/>
          <w:szCs w:val="24"/>
        </w:rPr>
      </w:pPr>
      <w:r>
        <w:rPr>
          <w:rFonts w:hint="eastAsia" w:ascii="宋体" w:hAnsi="宋体" w:cs="宋体"/>
          <w:sz w:val="24"/>
          <w:szCs w:val="24"/>
        </w:rPr>
        <w:t>截至2018年7月6日，公司已回购股份数量为32,192,082股，占公司总股本的3.73%，</w:t>
      </w:r>
      <w:r>
        <w:rPr>
          <w:rFonts w:hint="eastAsia" w:ascii="宋体" w:hAnsi="宋体" w:cs="宋体"/>
          <w:color w:val="000000"/>
          <w:sz w:val="24"/>
          <w:szCs w:val="24"/>
        </w:rPr>
        <w:t>成交最高价为11.77元</w:t>
      </w:r>
      <w:r>
        <w:rPr>
          <w:rFonts w:ascii="Calibri" w:hAnsi="Calibri" w:cs="Calibri"/>
          <w:color w:val="000000"/>
          <w:sz w:val="24"/>
          <w:szCs w:val="24"/>
        </w:rPr>
        <w:t>/</w:t>
      </w:r>
      <w:r>
        <w:rPr>
          <w:rFonts w:hint="eastAsia" w:ascii="宋体" w:hAnsi="宋体" w:cs="宋体"/>
          <w:color w:val="000000"/>
          <w:sz w:val="24"/>
          <w:szCs w:val="24"/>
        </w:rPr>
        <w:t>股，成交最低价为7.40元</w:t>
      </w:r>
      <w:r>
        <w:rPr>
          <w:rFonts w:ascii="Calibri" w:hAnsi="Calibri" w:cs="Calibri"/>
          <w:color w:val="000000"/>
          <w:sz w:val="24"/>
          <w:szCs w:val="24"/>
        </w:rPr>
        <w:t>/</w:t>
      </w:r>
      <w:r>
        <w:rPr>
          <w:rFonts w:hint="eastAsia" w:ascii="宋体" w:hAnsi="宋体" w:cs="宋体"/>
          <w:color w:val="000000"/>
          <w:sz w:val="24"/>
          <w:szCs w:val="24"/>
        </w:rPr>
        <w:t>股，支付的总金额为299,999,983.25元(约3亿元，含交易费用）。</w:t>
      </w:r>
    </w:p>
    <w:p>
      <w:pPr>
        <w:spacing w:line="42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本次注销完成后，公司股份总额、股份结构相应发生变化。</w:t>
      </w:r>
    </w:p>
    <w:p>
      <w:pPr>
        <w:numPr>
          <w:ilvl w:val="0"/>
          <w:numId w:val="1"/>
        </w:numPr>
        <w:spacing w:beforeLines="50" w:afterLines="50" w:line="420" w:lineRule="exact"/>
        <w:ind w:left="420" w:leftChars="200"/>
        <w:jc w:val="left"/>
        <w:rPr>
          <w:rFonts w:ascii="宋体" w:hAnsi="宋体" w:cs="宋体"/>
          <w:b/>
          <w:bCs/>
          <w:color w:val="000000"/>
          <w:kern w:val="0"/>
          <w:sz w:val="24"/>
          <w:szCs w:val="24"/>
        </w:rPr>
      </w:pPr>
      <w:r>
        <w:rPr>
          <w:rFonts w:hint="eastAsia" w:ascii="宋体" w:hAnsi="宋体" w:cs="宋体"/>
          <w:b/>
          <w:bCs/>
          <w:color w:val="000000"/>
          <w:kern w:val="0"/>
          <w:sz w:val="24"/>
          <w:szCs w:val="24"/>
        </w:rPr>
        <w:t>股份变动情况</w:t>
      </w:r>
    </w:p>
    <w:p>
      <w:pPr>
        <w:spacing w:line="420" w:lineRule="exact"/>
        <w:ind w:firstLine="480"/>
        <w:jc w:val="left"/>
        <w:rPr>
          <w:rFonts w:hint="eastAsia" w:ascii="宋体" w:hAnsi="宋体" w:cs="宋体"/>
          <w:color w:val="000000"/>
          <w:kern w:val="0"/>
          <w:sz w:val="24"/>
          <w:szCs w:val="24"/>
        </w:rPr>
      </w:pPr>
      <w:r>
        <w:rPr>
          <w:rFonts w:hint="eastAsia" w:ascii="宋体" w:hAnsi="宋体" w:cs="宋体"/>
          <w:color w:val="000000"/>
          <w:kern w:val="0"/>
          <w:sz w:val="24"/>
          <w:szCs w:val="24"/>
        </w:rPr>
        <w:t>本次回购股份注销完毕后，公司总股本由862,460,685股减少至</w:t>
      </w:r>
      <w:r>
        <w:rPr>
          <w:rFonts w:hint="eastAsia" w:ascii="宋体" w:hAnsi="宋体" w:cs="宋体"/>
          <w:sz w:val="24"/>
          <w:szCs w:val="24"/>
        </w:rPr>
        <w:t>830,268,603</w:t>
      </w:r>
      <w:r>
        <w:rPr>
          <w:rFonts w:hint="eastAsia" w:ascii="宋体" w:hAnsi="宋体" w:cs="宋体"/>
          <w:color w:val="000000"/>
          <w:kern w:val="0"/>
          <w:sz w:val="24"/>
          <w:szCs w:val="24"/>
        </w:rPr>
        <w:t>股，具体如下：</w:t>
      </w:r>
    </w:p>
    <w:p>
      <w:pPr>
        <w:spacing w:line="420" w:lineRule="exact"/>
        <w:ind w:firstLine="480"/>
        <w:jc w:val="left"/>
      </w:pPr>
    </w:p>
    <w:tbl>
      <w:tblPr>
        <w:tblStyle w:val="6"/>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9"/>
        <w:gridCol w:w="1694"/>
        <w:gridCol w:w="1364"/>
        <w:gridCol w:w="1529"/>
        <w:gridCol w:w="1633"/>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529" w:type="dxa"/>
            <w:vMerge w:val="restart"/>
          </w:tcPr>
          <w:p>
            <w:pPr>
              <w:widowControl/>
              <w:spacing w:line="340" w:lineRule="exact"/>
              <w:rPr>
                <w:rFonts w:ascii="宋体" w:hAnsi="宋体" w:cs="宋体"/>
                <w:sz w:val="24"/>
                <w:szCs w:val="24"/>
              </w:rPr>
            </w:pPr>
            <w:r>
              <w:rPr>
                <w:rFonts w:hint="eastAsia" w:ascii="宋体" w:hAnsi="宋体" w:cs="宋体"/>
                <w:sz w:val="24"/>
                <w:szCs w:val="24"/>
              </w:rPr>
              <w:t>股份类别</w:t>
            </w:r>
          </w:p>
        </w:tc>
        <w:tc>
          <w:tcPr>
            <w:tcW w:w="3058" w:type="dxa"/>
            <w:gridSpan w:val="2"/>
          </w:tcPr>
          <w:p>
            <w:pPr>
              <w:widowControl/>
              <w:spacing w:line="340" w:lineRule="exact"/>
              <w:jc w:val="center"/>
              <w:rPr>
                <w:rFonts w:ascii="宋体" w:hAnsi="宋体" w:cs="宋体"/>
                <w:sz w:val="24"/>
                <w:szCs w:val="24"/>
              </w:rPr>
            </w:pPr>
            <w:r>
              <w:rPr>
                <w:rFonts w:hint="eastAsia" w:ascii="宋体" w:hAnsi="宋体" w:cs="宋体"/>
                <w:sz w:val="24"/>
                <w:szCs w:val="24"/>
              </w:rPr>
              <w:t>回购前</w:t>
            </w:r>
          </w:p>
        </w:tc>
        <w:tc>
          <w:tcPr>
            <w:tcW w:w="1529" w:type="dxa"/>
            <w:vMerge w:val="restart"/>
          </w:tcPr>
          <w:p>
            <w:pPr>
              <w:widowControl/>
              <w:spacing w:line="340" w:lineRule="exact"/>
              <w:rPr>
                <w:rFonts w:ascii="宋体" w:hAnsi="宋体" w:cs="宋体"/>
                <w:sz w:val="24"/>
                <w:szCs w:val="24"/>
              </w:rPr>
            </w:pPr>
            <w:r>
              <w:rPr>
                <w:rFonts w:hint="eastAsia" w:ascii="宋体" w:hAnsi="宋体" w:cs="宋体"/>
                <w:sz w:val="24"/>
                <w:szCs w:val="24"/>
              </w:rPr>
              <w:t>本次回购股数（股）</w:t>
            </w:r>
          </w:p>
        </w:tc>
        <w:tc>
          <w:tcPr>
            <w:tcW w:w="3058" w:type="dxa"/>
            <w:gridSpan w:val="2"/>
          </w:tcPr>
          <w:p>
            <w:pPr>
              <w:widowControl/>
              <w:spacing w:line="340" w:lineRule="exact"/>
              <w:jc w:val="center"/>
              <w:rPr>
                <w:rFonts w:ascii="宋体" w:hAnsi="宋体" w:cs="宋体"/>
                <w:sz w:val="24"/>
                <w:szCs w:val="24"/>
              </w:rPr>
            </w:pPr>
            <w:r>
              <w:rPr>
                <w:rFonts w:hint="eastAsia" w:ascii="宋体" w:hAnsi="宋体" w:cs="宋体"/>
                <w:sz w:val="24"/>
                <w:szCs w:val="24"/>
              </w:rPr>
              <w:t>回购后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1529" w:type="dxa"/>
            <w:vMerge w:val="continue"/>
          </w:tcPr>
          <w:p>
            <w:pPr>
              <w:widowControl/>
              <w:spacing w:line="340" w:lineRule="exact"/>
              <w:rPr>
                <w:rFonts w:ascii="宋体" w:hAnsi="宋体" w:cs="宋体"/>
                <w:sz w:val="24"/>
                <w:szCs w:val="24"/>
              </w:rPr>
            </w:pPr>
          </w:p>
        </w:tc>
        <w:tc>
          <w:tcPr>
            <w:tcW w:w="1694" w:type="dxa"/>
          </w:tcPr>
          <w:p>
            <w:pPr>
              <w:widowControl/>
              <w:spacing w:line="340" w:lineRule="exact"/>
              <w:rPr>
                <w:rFonts w:ascii="宋体" w:hAnsi="宋体" w:cs="宋体"/>
                <w:sz w:val="24"/>
                <w:szCs w:val="24"/>
              </w:rPr>
            </w:pPr>
            <w:r>
              <w:rPr>
                <w:rFonts w:hint="eastAsia" w:ascii="宋体" w:hAnsi="宋体" w:cs="宋体"/>
                <w:sz w:val="24"/>
                <w:szCs w:val="24"/>
              </w:rPr>
              <w:t>股份数（股）</w:t>
            </w:r>
          </w:p>
        </w:tc>
        <w:tc>
          <w:tcPr>
            <w:tcW w:w="1364" w:type="dxa"/>
          </w:tcPr>
          <w:p>
            <w:pPr>
              <w:widowControl/>
              <w:spacing w:line="340" w:lineRule="exact"/>
              <w:rPr>
                <w:rFonts w:ascii="宋体" w:hAnsi="宋体" w:cs="宋体"/>
                <w:sz w:val="24"/>
                <w:szCs w:val="24"/>
              </w:rPr>
            </w:pPr>
            <w:r>
              <w:rPr>
                <w:rFonts w:hint="eastAsia" w:ascii="宋体" w:hAnsi="宋体" w:cs="宋体"/>
                <w:sz w:val="24"/>
                <w:szCs w:val="24"/>
              </w:rPr>
              <w:t>股份比例%</w:t>
            </w:r>
          </w:p>
        </w:tc>
        <w:tc>
          <w:tcPr>
            <w:tcW w:w="1529" w:type="dxa"/>
            <w:vMerge w:val="continue"/>
          </w:tcPr>
          <w:p>
            <w:pPr>
              <w:widowControl/>
              <w:spacing w:line="340" w:lineRule="exact"/>
              <w:rPr>
                <w:rFonts w:ascii="宋体" w:hAnsi="宋体" w:cs="宋体"/>
                <w:sz w:val="24"/>
                <w:szCs w:val="24"/>
              </w:rPr>
            </w:pPr>
          </w:p>
        </w:tc>
        <w:tc>
          <w:tcPr>
            <w:tcW w:w="1633" w:type="dxa"/>
          </w:tcPr>
          <w:p>
            <w:pPr>
              <w:widowControl/>
              <w:spacing w:line="340" w:lineRule="exact"/>
              <w:rPr>
                <w:rFonts w:ascii="宋体" w:hAnsi="宋体" w:cs="宋体"/>
                <w:sz w:val="24"/>
                <w:szCs w:val="24"/>
              </w:rPr>
            </w:pPr>
            <w:r>
              <w:rPr>
                <w:rFonts w:hint="eastAsia" w:ascii="宋体" w:hAnsi="宋体" w:cs="宋体"/>
                <w:sz w:val="24"/>
                <w:szCs w:val="24"/>
              </w:rPr>
              <w:t>股份数（股）</w:t>
            </w:r>
          </w:p>
        </w:tc>
        <w:tc>
          <w:tcPr>
            <w:tcW w:w="1425" w:type="dxa"/>
          </w:tcPr>
          <w:p>
            <w:pPr>
              <w:widowControl/>
              <w:spacing w:line="340" w:lineRule="exact"/>
              <w:rPr>
                <w:rFonts w:ascii="宋体" w:hAnsi="宋体" w:cs="宋体"/>
                <w:sz w:val="24"/>
                <w:szCs w:val="24"/>
              </w:rPr>
            </w:pPr>
            <w:r>
              <w:rPr>
                <w:rFonts w:hint="eastAsia" w:ascii="宋体" w:hAnsi="宋体" w:cs="宋体"/>
                <w:sz w:val="24"/>
                <w:szCs w:val="24"/>
              </w:rPr>
              <w:t>股份比例%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9" w:type="dxa"/>
            <w:vAlign w:val="center"/>
          </w:tcPr>
          <w:p>
            <w:pPr>
              <w:widowControl w:val="0"/>
              <w:spacing w:line="340" w:lineRule="exact"/>
              <w:jc w:val="left"/>
              <w:rPr>
                <w:rFonts w:ascii="宋体" w:hAnsi="宋体" w:cs="宋体"/>
                <w:sz w:val="24"/>
                <w:szCs w:val="24"/>
              </w:rPr>
            </w:pPr>
            <w:r>
              <w:rPr>
                <w:rFonts w:hint="eastAsia" w:ascii="宋体" w:hAnsi="宋体" w:cs="宋体"/>
                <w:sz w:val="24"/>
                <w:szCs w:val="24"/>
              </w:rPr>
              <w:t>一、限售条件流通股/非流通股</w:t>
            </w:r>
          </w:p>
        </w:tc>
        <w:tc>
          <w:tcPr>
            <w:tcW w:w="1694" w:type="dxa"/>
            <w:vAlign w:val="center"/>
          </w:tcPr>
          <w:p>
            <w:pPr>
              <w:widowControl/>
              <w:spacing w:line="340" w:lineRule="exact"/>
              <w:jc w:val="center"/>
              <w:rPr>
                <w:rFonts w:ascii="宋体" w:hAnsi="宋体" w:cs="宋体"/>
                <w:sz w:val="24"/>
                <w:szCs w:val="24"/>
              </w:rPr>
            </w:pPr>
            <w:r>
              <w:rPr>
                <w:rFonts w:hint="eastAsia" w:ascii="宋体" w:hAnsi="宋体" w:cs="宋体"/>
                <w:sz w:val="24"/>
                <w:szCs w:val="24"/>
              </w:rPr>
              <w:t>136,575,285</w:t>
            </w:r>
          </w:p>
        </w:tc>
        <w:tc>
          <w:tcPr>
            <w:tcW w:w="1364" w:type="dxa"/>
            <w:vAlign w:val="center"/>
          </w:tcPr>
          <w:p>
            <w:pPr>
              <w:widowControl/>
              <w:spacing w:line="340" w:lineRule="exact"/>
              <w:jc w:val="center"/>
              <w:rPr>
                <w:rFonts w:ascii="宋体" w:hAnsi="宋体" w:cs="宋体"/>
                <w:sz w:val="24"/>
                <w:szCs w:val="24"/>
              </w:rPr>
            </w:pPr>
            <w:r>
              <w:rPr>
                <w:rFonts w:hint="eastAsia" w:ascii="宋体" w:hAnsi="宋体" w:cs="宋体"/>
                <w:sz w:val="24"/>
                <w:szCs w:val="24"/>
              </w:rPr>
              <w:t>15.84</w:t>
            </w:r>
          </w:p>
        </w:tc>
        <w:tc>
          <w:tcPr>
            <w:tcW w:w="1529" w:type="dxa"/>
            <w:vAlign w:val="center"/>
          </w:tcPr>
          <w:p>
            <w:pPr>
              <w:widowControl/>
              <w:spacing w:line="340" w:lineRule="exact"/>
              <w:jc w:val="center"/>
              <w:rPr>
                <w:rFonts w:ascii="宋体" w:hAnsi="宋体" w:cs="宋体"/>
                <w:sz w:val="24"/>
                <w:szCs w:val="24"/>
              </w:rPr>
            </w:pPr>
            <w:r>
              <w:rPr>
                <w:rFonts w:hint="eastAsia" w:ascii="宋体" w:hAnsi="宋体" w:cs="宋体"/>
                <w:sz w:val="24"/>
                <w:szCs w:val="24"/>
              </w:rPr>
              <w:t>0</w:t>
            </w:r>
          </w:p>
        </w:tc>
        <w:tc>
          <w:tcPr>
            <w:tcW w:w="1633" w:type="dxa"/>
            <w:vAlign w:val="center"/>
          </w:tcPr>
          <w:p>
            <w:pPr>
              <w:widowControl/>
              <w:spacing w:line="340" w:lineRule="exact"/>
              <w:jc w:val="center"/>
              <w:rPr>
                <w:rFonts w:ascii="宋体" w:hAnsi="宋体" w:cs="宋体"/>
                <w:sz w:val="24"/>
                <w:szCs w:val="24"/>
              </w:rPr>
            </w:pPr>
            <w:r>
              <w:rPr>
                <w:rFonts w:hint="eastAsia" w:ascii="宋体" w:hAnsi="宋体" w:cs="宋体"/>
                <w:sz w:val="24"/>
                <w:szCs w:val="24"/>
              </w:rPr>
              <w:t>136,575,285</w:t>
            </w:r>
          </w:p>
        </w:tc>
        <w:tc>
          <w:tcPr>
            <w:tcW w:w="1425" w:type="dxa"/>
            <w:vAlign w:val="center"/>
          </w:tcPr>
          <w:p>
            <w:pPr>
              <w:widowControl/>
              <w:spacing w:line="340" w:lineRule="exact"/>
              <w:jc w:val="center"/>
              <w:rPr>
                <w:rFonts w:ascii="宋体" w:hAnsi="宋体" w:cs="宋体"/>
                <w:sz w:val="24"/>
                <w:szCs w:val="24"/>
              </w:rPr>
            </w:pPr>
            <w:r>
              <w:rPr>
                <w:rFonts w:hint="eastAsia" w:ascii="宋体" w:hAnsi="宋体" w:cs="宋体"/>
                <w:sz w:val="24"/>
                <w:szCs w:val="24"/>
              </w:rPr>
              <w:t>16.45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9" w:type="dxa"/>
            <w:vAlign w:val="center"/>
          </w:tcPr>
          <w:p>
            <w:pPr>
              <w:widowControl w:val="0"/>
              <w:spacing w:line="340" w:lineRule="exact"/>
              <w:jc w:val="left"/>
              <w:rPr>
                <w:rFonts w:ascii="宋体" w:hAnsi="宋体" w:cs="宋体"/>
                <w:sz w:val="24"/>
                <w:szCs w:val="24"/>
              </w:rPr>
            </w:pPr>
            <w:r>
              <w:rPr>
                <w:rFonts w:hint="eastAsia" w:ascii="宋体" w:hAnsi="宋体" w:cs="宋体"/>
                <w:sz w:val="24"/>
                <w:szCs w:val="24"/>
              </w:rPr>
              <w:t>二、无限售条件流通股</w:t>
            </w:r>
          </w:p>
        </w:tc>
        <w:tc>
          <w:tcPr>
            <w:tcW w:w="1694" w:type="dxa"/>
            <w:vAlign w:val="center"/>
          </w:tcPr>
          <w:p>
            <w:pPr>
              <w:widowControl/>
              <w:spacing w:line="340" w:lineRule="exact"/>
              <w:jc w:val="center"/>
              <w:rPr>
                <w:rFonts w:ascii="宋体" w:hAnsi="宋体" w:cs="宋体"/>
                <w:sz w:val="24"/>
                <w:szCs w:val="24"/>
              </w:rPr>
            </w:pPr>
            <w:r>
              <w:rPr>
                <w:rFonts w:hint="eastAsia" w:ascii="宋体" w:hAnsi="宋体" w:cs="宋体"/>
                <w:sz w:val="24"/>
                <w:szCs w:val="24"/>
              </w:rPr>
              <w:t>725,885,400</w:t>
            </w:r>
          </w:p>
        </w:tc>
        <w:tc>
          <w:tcPr>
            <w:tcW w:w="1364" w:type="dxa"/>
            <w:vAlign w:val="center"/>
          </w:tcPr>
          <w:p>
            <w:pPr>
              <w:widowControl/>
              <w:spacing w:line="340" w:lineRule="exact"/>
              <w:jc w:val="center"/>
              <w:rPr>
                <w:rFonts w:ascii="宋体" w:hAnsi="宋体" w:cs="宋体"/>
                <w:sz w:val="24"/>
                <w:szCs w:val="24"/>
              </w:rPr>
            </w:pPr>
            <w:r>
              <w:rPr>
                <w:rFonts w:hint="eastAsia" w:ascii="宋体" w:hAnsi="宋体" w:cs="宋体"/>
                <w:sz w:val="24"/>
                <w:szCs w:val="24"/>
              </w:rPr>
              <w:t>84.16</w:t>
            </w:r>
          </w:p>
        </w:tc>
        <w:tc>
          <w:tcPr>
            <w:tcW w:w="1529" w:type="dxa"/>
            <w:vAlign w:val="center"/>
          </w:tcPr>
          <w:p>
            <w:pPr>
              <w:widowControl/>
              <w:spacing w:line="340" w:lineRule="exact"/>
              <w:jc w:val="center"/>
              <w:rPr>
                <w:rFonts w:ascii="宋体" w:hAnsi="宋体" w:cs="宋体"/>
                <w:sz w:val="24"/>
                <w:szCs w:val="24"/>
              </w:rPr>
            </w:pPr>
            <w:r>
              <w:rPr>
                <w:rFonts w:hint="eastAsia" w:ascii="宋体" w:hAnsi="宋体" w:cs="宋体"/>
                <w:sz w:val="24"/>
                <w:szCs w:val="24"/>
              </w:rPr>
              <w:t>32,192,082</w:t>
            </w:r>
          </w:p>
        </w:tc>
        <w:tc>
          <w:tcPr>
            <w:tcW w:w="1633" w:type="dxa"/>
            <w:vAlign w:val="center"/>
          </w:tcPr>
          <w:p>
            <w:pPr>
              <w:widowControl/>
              <w:spacing w:line="340" w:lineRule="exact"/>
              <w:jc w:val="center"/>
              <w:rPr>
                <w:rFonts w:ascii="宋体" w:hAnsi="宋体" w:cs="宋体"/>
                <w:sz w:val="24"/>
                <w:szCs w:val="24"/>
              </w:rPr>
            </w:pPr>
            <w:r>
              <w:rPr>
                <w:rFonts w:hint="eastAsia" w:ascii="宋体" w:hAnsi="宋体" w:cs="宋体"/>
                <w:sz w:val="24"/>
                <w:szCs w:val="24"/>
              </w:rPr>
              <w:t>693,693,318</w:t>
            </w:r>
          </w:p>
        </w:tc>
        <w:tc>
          <w:tcPr>
            <w:tcW w:w="1425" w:type="dxa"/>
            <w:vAlign w:val="center"/>
          </w:tcPr>
          <w:p>
            <w:pPr>
              <w:widowControl/>
              <w:spacing w:line="340" w:lineRule="exact"/>
              <w:jc w:val="center"/>
              <w:rPr>
                <w:rFonts w:ascii="宋体" w:hAnsi="宋体" w:cs="宋体"/>
                <w:sz w:val="24"/>
                <w:szCs w:val="24"/>
              </w:rPr>
            </w:pPr>
            <w:r>
              <w:rPr>
                <w:rFonts w:hint="eastAsia" w:ascii="宋体" w:hAnsi="宋体" w:cs="宋体"/>
                <w:sz w:val="24"/>
                <w:szCs w:val="24"/>
              </w:rPr>
              <w:t>83.55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1529" w:type="dxa"/>
            <w:vAlign w:val="center"/>
          </w:tcPr>
          <w:p>
            <w:pPr>
              <w:widowControl w:val="0"/>
              <w:spacing w:line="340" w:lineRule="exact"/>
              <w:jc w:val="left"/>
              <w:rPr>
                <w:rFonts w:ascii="宋体" w:hAnsi="宋体" w:cs="宋体"/>
                <w:sz w:val="24"/>
                <w:szCs w:val="24"/>
              </w:rPr>
            </w:pPr>
            <w:r>
              <w:rPr>
                <w:rFonts w:hint="eastAsia" w:ascii="宋体" w:hAnsi="宋体" w:cs="宋体"/>
                <w:sz w:val="24"/>
                <w:szCs w:val="24"/>
              </w:rPr>
              <w:t>三、总股本</w:t>
            </w:r>
          </w:p>
        </w:tc>
        <w:tc>
          <w:tcPr>
            <w:tcW w:w="1694" w:type="dxa"/>
            <w:vAlign w:val="center"/>
          </w:tcPr>
          <w:p>
            <w:pPr>
              <w:widowControl w:val="0"/>
              <w:spacing w:line="340" w:lineRule="exact"/>
              <w:jc w:val="center"/>
              <w:rPr>
                <w:rFonts w:ascii="宋体" w:hAnsi="宋体" w:cs="宋体"/>
                <w:sz w:val="24"/>
                <w:szCs w:val="24"/>
              </w:rPr>
            </w:pPr>
            <w:r>
              <w:rPr>
                <w:rFonts w:hint="eastAsia" w:ascii="宋体" w:hAnsi="宋体" w:cs="宋体"/>
                <w:sz w:val="24"/>
                <w:szCs w:val="24"/>
              </w:rPr>
              <w:t>862,460,685</w:t>
            </w:r>
          </w:p>
        </w:tc>
        <w:tc>
          <w:tcPr>
            <w:tcW w:w="1364" w:type="dxa"/>
            <w:vAlign w:val="center"/>
          </w:tcPr>
          <w:p>
            <w:pPr>
              <w:widowControl w:val="0"/>
              <w:spacing w:line="340" w:lineRule="exact"/>
              <w:jc w:val="center"/>
              <w:rPr>
                <w:rFonts w:ascii="宋体" w:hAnsi="宋体" w:cs="宋体"/>
                <w:sz w:val="24"/>
                <w:szCs w:val="24"/>
              </w:rPr>
            </w:pPr>
            <w:r>
              <w:rPr>
                <w:rFonts w:hint="eastAsia" w:ascii="宋体" w:hAnsi="宋体" w:cs="宋体"/>
                <w:sz w:val="24"/>
                <w:szCs w:val="24"/>
              </w:rPr>
              <w:t>100</w:t>
            </w:r>
          </w:p>
        </w:tc>
        <w:tc>
          <w:tcPr>
            <w:tcW w:w="1529" w:type="dxa"/>
            <w:vAlign w:val="center"/>
          </w:tcPr>
          <w:p>
            <w:pPr>
              <w:widowControl/>
              <w:spacing w:line="340" w:lineRule="exact"/>
              <w:jc w:val="center"/>
              <w:rPr>
                <w:rFonts w:ascii="宋体" w:hAnsi="宋体" w:cs="宋体"/>
                <w:sz w:val="24"/>
                <w:szCs w:val="24"/>
              </w:rPr>
            </w:pPr>
            <w:r>
              <w:rPr>
                <w:rFonts w:hint="eastAsia" w:ascii="宋体" w:hAnsi="宋体" w:cs="宋体"/>
                <w:sz w:val="24"/>
                <w:szCs w:val="24"/>
              </w:rPr>
              <w:t>32,192,082</w:t>
            </w:r>
          </w:p>
        </w:tc>
        <w:tc>
          <w:tcPr>
            <w:tcW w:w="1633" w:type="dxa"/>
            <w:vAlign w:val="center"/>
          </w:tcPr>
          <w:p>
            <w:pPr>
              <w:widowControl/>
              <w:spacing w:line="340" w:lineRule="exact"/>
              <w:jc w:val="center"/>
              <w:rPr>
                <w:rFonts w:ascii="宋体" w:hAnsi="宋体" w:cs="宋体"/>
                <w:sz w:val="24"/>
                <w:szCs w:val="24"/>
              </w:rPr>
            </w:pPr>
            <w:r>
              <w:rPr>
                <w:rFonts w:hint="eastAsia" w:ascii="宋体" w:hAnsi="宋体" w:cs="宋体"/>
                <w:sz w:val="24"/>
                <w:szCs w:val="24"/>
              </w:rPr>
              <w:t>830,268,603</w:t>
            </w:r>
          </w:p>
        </w:tc>
        <w:tc>
          <w:tcPr>
            <w:tcW w:w="1425" w:type="dxa"/>
            <w:vAlign w:val="center"/>
          </w:tcPr>
          <w:p>
            <w:pPr>
              <w:widowControl/>
              <w:spacing w:line="340" w:lineRule="exact"/>
              <w:jc w:val="center"/>
              <w:rPr>
                <w:rFonts w:ascii="宋体" w:hAnsi="宋体" w:cs="宋体"/>
                <w:sz w:val="24"/>
                <w:szCs w:val="24"/>
              </w:rPr>
            </w:pPr>
            <w:r>
              <w:rPr>
                <w:rFonts w:hint="eastAsia" w:ascii="宋体" w:hAnsi="宋体" w:cs="宋体"/>
                <w:sz w:val="24"/>
                <w:szCs w:val="24"/>
              </w:rPr>
              <w:t>100</w:t>
            </w:r>
          </w:p>
        </w:tc>
      </w:tr>
    </w:tbl>
    <w:p>
      <w:pPr>
        <w:spacing w:beforeLines="50" w:afterLines="50" w:line="420" w:lineRule="exact"/>
        <w:ind w:left="420" w:leftChars="200"/>
        <w:jc w:val="left"/>
        <w:rPr>
          <w:rFonts w:ascii="宋体" w:hAnsi="宋体" w:cs="宋体"/>
          <w:color w:val="000000"/>
          <w:kern w:val="0"/>
          <w:sz w:val="24"/>
          <w:szCs w:val="24"/>
        </w:rPr>
      </w:pPr>
      <w:r>
        <w:rPr>
          <w:rFonts w:hint="eastAsia" w:ascii="宋体" w:hAnsi="宋体" w:cs="宋体"/>
          <w:b/>
          <w:bCs/>
          <w:color w:val="000000"/>
          <w:kern w:val="0"/>
          <w:sz w:val="24"/>
          <w:szCs w:val="24"/>
        </w:rPr>
        <w:t>四、修改公司章程事项</w:t>
      </w:r>
    </w:p>
    <w:p>
      <w:pPr>
        <w:spacing w:line="420" w:lineRule="exact"/>
        <w:ind w:firstLine="480"/>
        <w:jc w:val="left"/>
      </w:pPr>
      <w:r>
        <w:rPr>
          <w:rFonts w:hint="eastAsia" w:ascii="宋体" w:hAnsi="宋体" w:cs="宋体"/>
          <w:color w:val="000000"/>
          <w:kern w:val="0"/>
          <w:sz w:val="24"/>
          <w:szCs w:val="24"/>
        </w:rPr>
        <w:t>根据</w:t>
      </w:r>
      <w:r>
        <w:rPr>
          <w:rFonts w:hint="eastAsia" w:ascii="宋体" w:hAnsi="宋体"/>
          <w:bCs/>
          <w:sz w:val="24"/>
        </w:rPr>
        <w:t>2018年2月27</w:t>
      </w:r>
      <w:r>
        <w:rPr>
          <w:rFonts w:hint="eastAsia" w:ascii="宋体" w:hAnsi="宋体" w:cs="宋体"/>
          <w:color w:val="000000"/>
          <w:kern w:val="0"/>
          <w:sz w:val="24"/>
          <w:szCs w:val="24"/>
        </w:rPr>
        <w:t>日公司召开的2018年第一次临时股东大会的决议，股东大会授权公司董事会办理本次回购股份的相关事宜。公司将在相关授权范围内办理公司章程修改事宜，包括对公司章程中涉及注册资本金额、股本总额和股权结构的条款进行相应修改，并办理工商登记备案。</w:t>
      </w:r>
      <w:r>
        <w:rPr>
          <w:rFonts w:ascii="宋体" w:hAnsi="宋体" w:cs="宋体"/>
          <w:kern w:val="0"/>
          <w:sz w:val="24"/>
          <w:szCs w:val="24"/>
        </w:rPr>
        <w:t xml:space="preserve"> </w:t>
      </w:r>
    </w:p>
    <w:p>
      <w:pPr>
        <w:spacing w:line="420" w:lineRule="exact"/>
        <w:ind w:firstLine="480" w:firstLineChars="200"/>
        <w:rPr>
          <w:rFonts w:ascii="宋体" w:hAnsi="宋体" w:cs="宋体"/>
          <w:sz w:val="24"/>
          <w:szCs w:val="24"/>
        </w:rPr>
      </w:pPr>
    </w:p>
    <w:p>
      <w:pPr>
        <w:spacing w:line="400" w:lineRule="exact"/>
        <w:ind w:firstLine="480" w:firstLineChars="200"/>
        <w:rPr>
          <w:rFonts w:ascii="宋体" w:hAnsi="宋体" w:cs="宋体"/>
          <w:sz w:val="24"/>
          <w:szCs w:val="24"/>
        </w:rPr>
      </w:pPr>
      <w:r>
        <w:rPr>
          <w:rFonts w:hint="eastAsia" w:ascii="宋体" w:hAnsi="宋体" w:cs="宋体"/>
          <w:sz w:val="24"/>
          <w:szCs w:val="24"/>
        </w:rPr>
        <w:t>特此公告。</w:t>
      </w:r>
    </w:p>
    <w:p>
      <w:pPr>
        <w:spacing w:line="400" w:lineRule="exact"/>
        <w:rPr>
          <w:rFonts w:ascii="宋体" w:hAnsi="宋体" w:cs="宋体"/>
          <w:color w:val="000000"/>
          <w:sz w:val="24"/>
          <w:szCs w:val="24"/>
        </w:rPr>
      </w:pPr>
    </w:p>
    <w:p>
      <w:pPr>
        <w:spacing w:line="400" w:lineRule="exact"/>
        <w:rPr>
          <w:rFonts w:ascii="宋体" w:hAnsi="宋体" w:cs="宋体"/>
          <w:color w:val="000000"/>
          <w:sz w:val="24"/>
          <w:szCs w:val="24"/>
        </w:rPr>
      </w:pPr>
    </w:p>
    <w:p>
      <w:pPr>
        <w:spacing w:line="400" w:lineRule="exact"/>
        <w:jc w:val="right"/>
        <w:rPr>
          <w:rFonts w:ascii="宋体" w:hAnsi="宋体"/>
          <w:color w:val="000000"/>
          <w:sz w:val="24"/>
          <w:szCs w:val="24"/>
        </w:rPr>
      </w:pPr>
      <w:r>
        <w:rPr>
          <w:rFonts w:hint="eastAsia" w:ascii="宋体" w:hAnsi="宋体"/>
          <w:color w:val="000000"/>
          <w:sz w:val="24"/>
          <w:szCs w:val="24"/>
        </w:rPr>
        <w:t xml:space="preserve">德华兔宝宝装饰新材股份有限公司 </w:t>
      </w:r>
    </w:p>
    <w:p>
      <w:pPr>
        <w:spacing w:line="400" w:lineRule="exact"/>
        <w:jc w:val="left"/>
        <w:rPr>
          <w:rFonts w:ascii="宋体" w:hAnsi="宋体"/>
          <w:color w:val="000000"/>
          <w:sz w:val="24"/>
          <w:szCs w:val="24"/>
        </w:rPr>
      </w:pPr>
      <w:r>
        <w:rPr>
          <w:rFonts w:hint="eastAsia" w:ascii="宋体" w:hAnsi="宋体"/>
          <w:color w:val="000000"/>
          <w:sz w:val="24"/>
          <w:szCs w:val="24"/>
        </w:rPr>
        <w:t xml:space="preserve">                                                         董 事 会 </w:t>
      </w:r>
    </w:p>
    <w:p>
      <w:pPr>
        <w:spacing w:line="400" w:lineRule="exact"/>
        <w:ind w:firstLine="480"/>
        <w:jc w:val="left"/>
        <w:rPr>
          <w:rFonts w:ascii="宋体" w:hAnsi="宋体"/>
          <w:b/>
          <w:bCs/>
          <w:color w:val="000000"/>
          <w:sz w:val="24"/>
          <w:szCs w:val="24"/>
        </w:rPr>
      </w:pPr>
      <w:r>
        <w:rPr>
          <w:rFonts w:hint="eastAsia" w:ascii="宋体" w:hAnsi="宋体"/>
          <w:color w:val="000000"/>
          <w:sz w:val="24"/>
          <w:szCs w:val="24"/>
        </w:rPr>
        <w:t xml:space="preserve">                                                  2018年7月</w:t>
      </w:r>
      <w:r>
        <w:rPr>
          <w:rFonts w:hint="eastAsia" w:ascii="宋体" w:hAnsi="宋体"/>
          <w:color w:val="000000"/>
          <w:sz w:val="24"/>
          <w:szCs w:val="24"/>
          <w:lang w:val="en-US" w:eastAsia="zh-CN"/>
        </w:rPr>
        <w:t>18</w:t>
      </w:r>
      <w:bookmarkStart w:id="0" w:name="_GoBack"/>
      <w:bookmarkEnd w:id="0"/>
      <w:r>
        <w:rPr>
          <w:rFonts w:hint="eastAsia" w:ascii="宋体" w:hAnsi="宋体"/>
          <w:color w:val="000000"/>
          <w:sz w:val="24"/>
          <w:szCs w:val="24"/>
        </w:rPr>
        <w:t>日</w:t>
      </w:r>
      <w:r>
        <w:rPr>
          <w:rFonts w:ascii="宋体" w:hAnsi="宋体" w:cs="宋体"/>
          <w:sz w:val="24"/>
          <w:szCs w:val="24"/>
        </w:rPr>
        <w:t xml:space="preserve"> </w:t>
      </w:r>
    </w:p>
    <w:p/>
    <w:sectPr>
      <w:pgSz w:w="11906" w:h="16838"/>
      <w:pgMar w:top="1440" w:right="1417" w:bottom="1440"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E9F43"/>
    <w:multiLevelType w:val="singleLevel"/>
    <w:tmpl w:val="55BE9F43"/>
    <w:lvl w:ilvl="0" w:tentative="0">
      <w:start w:val="1"/>
      <w:numFmt w:val="chineseCounting"/>
      <w:suff w:val="space"/>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7425E99"/>
    <w:rsid w:val="000F7735"/>
    <w:rsid w:val="00156A88"/>
    <w:rsid w:val="00CA620D"/>
    <w:rsid w:val="057216F4"/>
    <w:rsid w:val="1233539D"/>
    <w:rsid w:val="1CA02A12"/>
    <w:rsid w:val="21E86F34"/>
    <w:rsid w:val="252F2EB6"/>
    <w:rsid w:val="27425E99"/>
    <w:rsid w:val="4CA8272E"/>
    <w:rsid w:val="597D6849"/>
    <w:rsid w:val="61311423"/>
    <w:rsid w:val="6D535020"/>
    <w:rsid w:val="76775DA8"/>
    <w:rsid w:val="7B993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fontstyle01"/>
    <w:basedOn w:val="4"/>
    <w:uiPriority w:val="0"/>
    <w:rPr>
      <w:rFonts w:hint="eastAsia" w:ascii="宋体" w:hAnsi="宋体" w:eastAsia="宋体" w:cs="宋体"/>
      <w:color w:val="000000"/>
      <w:sz w:val="24"/>
      <w:szCs w:val="24"/>
    </w:rPr>
  </w:style>
  <w:style w:type="character" w:customStyle="1" w:styleId="8">
    <w:name w:val="页眉 Char"/>
    <w:basedOn w:val="4"/>
    <w:link w:val="3"/>
    <w:uiPriority w:val="0"/>
    <w:rPr>
      <w:kern w:val="2"/>
      <w:sz w:val="18"/>
      <w:szCs w:val="18"/>
    </w:rPr>
  </w:style>
  <w:style w:type="character" w:customStyle="1" w:styleId="9">
    <w:name w:val="页脚 Char"/>
    <w:basedOn w:val="4"/>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205</Words>
  <Characters>1173</Characters>
  <Lines>9</Lines>
  <Paragraphs>2</Paragraphs>
  <TotalTime>15</TotalTime>
  <ScaleCrop>false</ScaleCrop>
  <LinksUpToDate>false</LinksUpToDate>
  <CharactersWithSpaces>1376</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2018-07-06T02:11:00Z</dcterms:created>
  <dc:creator>白首、不相离</dc:creator>
  <cp:lastModifiedBy>白首、不相离</cp:lastModifiedBy>
  <dcterms:modified xsi:type="dcterms:W3CDTF">2018-07-17T01:27:53Z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